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Moselle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2 319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2 042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5 883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122.4 M€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4 361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100.6 M€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3 188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84.8 M€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2 926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2 814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2 672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444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5 008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4 731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4 347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441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290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286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203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4 953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4 135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3 481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Moselle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