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Paris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7 742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7 038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6 183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552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10.9 M€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448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10.2 M€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335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9.5 M€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5 269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3 293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2 513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398 (52%)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344 (52%)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299 (53%)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1 279 (69%)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241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(37%)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31 433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29 304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27 111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5 690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4 972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4 347 (40%)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1 224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161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24 171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20 711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19 033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269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190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Paris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9 209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4 485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4 485 (37%)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