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Somme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886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806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696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12 663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10 959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9 520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3 967 (11%)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56.1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3 002 (11%)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46.2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2 379 (11%)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40.0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35 277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466.9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27 209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391.4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21 336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337.7 M€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189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178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178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914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792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792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1 594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1 509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1 441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18 258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17 449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16 676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4 557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2 839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2 119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179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194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3 089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2 910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2 706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31 823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29 703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27 137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2 210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1 663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1 106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299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5 533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4 800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4 583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12 140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10 058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8 476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2 386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2 081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1 754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2 256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1 968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29 049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24 617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20 989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865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720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604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1 894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926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926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19 634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9 632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9 632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