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Val-d'Oise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2 454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2 165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1 895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34 914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31 277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27 129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5 182 (18%)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111.2 M€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3 853 (18%)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95.9 M€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2 920 (18%)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84.7 M€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28 925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552.5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21 834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472.8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16 514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414.4 M€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2 124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2 023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1 903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15 866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14 930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14 053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13 780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8 561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6 655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1 849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656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6 527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6 005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5 446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99 772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92 377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84 022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240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1 857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1 276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13 755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12 296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10 797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9 493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7 704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6 490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1 004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4 457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3 943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3 634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68 785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59 468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53 420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785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Val-d'Oise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1 696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24 479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11 979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11 979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