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Aisne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b/>
          <w:b/>
          <w:bCs/>
          <w:sz w:val="50"/>
          <w:szCs w:val="50"/>
        </w:rPr>
      </w:pPr>
      <w:r>
        <w:rPr>
          <w:b/>
          <w:bCs/>
          <w:sz w:val="50"/>
          <w:szCs w:val="50"/>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09">
                <wp:simplePos x="0" y="0"/>
                <wp:positionH relativeFrom="column">
                  <wp:posOffset>-877570</wp:posOffset>
                </wp:positionH>
                <wp:positionV relativeFrom="paragraph">
                  <wp:posOffset>7219950</wp:posOffset>
                </wp:positionV>
                <wp:extent cx="7527290" cy="139065"/>
                <wp:effectExtent l="0" t="0" r="0" b="0"/>
                <wp:wrapNone/>
                <wp:docPr id="1"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2.3 M€</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58"/>
        <w:gridCol w:w="1434"/>
        <w:gridCol w:w="1882"/>
        <w:gridCol w:w="1883"/>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8"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8"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Hauts-de-France</w:t>
            </w:r>
          </w:p>
        </w:tc>
      </w:tr>
      <w:tr>
        <w:trPr>
          <w:trHeight w:val="450"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20.6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120.6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14338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7792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73.5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8802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4306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36.3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1656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12.0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1252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653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763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373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669.1 k€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158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4715" cy="2425700"/>
                <wp:effectExtent l="0" t="0" r="0" b="0"/>
                <wp:wrapNone/>
                <wp:docPr id="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8880" cy="139065"/>
                <wp:effectExtent l="0" t="0" r="0" b="0"/>
                <wp:wrapNone/>
                <wp:docPr id="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4715" cy="2651760"/>
                <wp:effectExtent l="0" t="0" r="0" b="0"/>
                <wp:wrapNone/>
                <wp:docPr id="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MaPrimeRénov’ permet de financer les dépenses engagées pour les travaux d'amélioration de la performance énergétique de votre logement.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rFonts w:eastAsia="Calibri" w:cs="" w:cstheme="minorBidi" w:eastAsiaTheme="minorHAnsi"/>
                                <w:b/>
                                <w:bCs/>
                                <w:color w:val="00000A"/>
                              </w:rPr>
                              <w:t xml:space="preserve">Les travaux doivent avoir été effectués par des </w:t>
                            </w:r>
                            <w:r>
                              <w:rPr>
                                <w:rStyle w:val="Accentuationforte"/>
                                <w:rFonts w:eastAsia="Calibri" w:cs="" w:cstheme="minorBidi" w:eastAsiaTheme="minorHAnsi"/>
                                <w:color w:val="00000A"/>
                              </w:rPr>
                              <w:t>entreprises labellisées RGE</w:t>
                            </w:r>
                            <w:r>
                              <w:rPr>
                                <w:rFonts w:eastAsia="Calibri" w:cs="" w:cstheme="minorBidi" w:eastAsiaTheme="minorHAnsi"/>
                                <w:b/>
                                <w:bCs/>
                                <w:color w:val="00000A"/>
                              </w:rPr>
                              <w:t xml:space="preserve"> (reconnues garantes pour l’environnement).</w:t>
                            </w:r>
                          </w:p>
                          <w:p>
                            <w:pPr>
                              <w:pStyle w:val="Corpsdetexte"/>
                              <w:rPr/>
                            </w:pPr>
                            <w:r>
                              <w:rPr/>
                              <w:t xml:space="preserve">Le montant de la prime varie en fonction des matériaux et des équipements éligibles dans la limite d’un plafond de </w:t>
                            </w:r>
                            <w:r>
                              <w:rPr>
                                <w:rStyle w:val="Accentuationforte"/>
                              </w:rPr>
                              <w:t>20 000 €</w:t>
                            </w:r>
                            <w:r>
                              <w:rPr/>
                              <w:t xml:space="preserve"> pour des travaux sur un logement et pendant une durée maximale de </w:t>
                            </w:r>
                            <w:r>
                              <w:rPr>
                                <w:rStyle w:val="Accentuationforte"/>
                              </w:rPr>
                              <w:t>5 ans.</w:t>
                            </w:r>
                          </w:p>
                          <w:p>
                            <w:pPr>
                              <w:pStyle w:val="Contenudecadre"/>
                              <w:overflowPunct w:val="false"/>
                              <w:spacing w:lineRule="auto" w:line="240" w:before="0" w:after="0"/>
                              <w:rPr/>
                            </w:pPr>
                            <w:r>
                              <w:rPr>
                                <w:rFonts w:eastAsia="Calibri" w:cs="" w:cstheme="minorBidi" w:eastAsiaTheme="minorHAnsi"/>
                                <w:b/>
                                <w:bCs/>
                                <w:color w:val="00000A"/>
                              </w:rPr>
                              <w:t>La préfecture de l’Aisne et la direction départementale des territoires ont organisé deux réunions d’information en janvier et février 2021 sur ce sujet avec les acteurs du bâtiment.</w:t>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00000A"/>
                              </w:rPr>
                              <w:t>Les chiffres des présents tableaux reprennent les montants déjà versés, qui sont sensiblement inférieurs à ceux des aides attribuées. Ainsi, au 19 avril 2021, 1 569 dossiers avaient déjà fait l’objet d’une attribution, pour un montant d’aides de 6,3 millions d’euros.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MaPrimeRénov’ permet de financer les dépenses engagées pour les travaux d'amélioration de la performance énergétique de votre logement.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rFonts w:eastAsia="Calibri" w:cs="" w:cstheme="minorBidi" w:eastAsiaTheme="minorHAnsi"/>
                          <w:b/>
                          <w:bCs/>
                          <w:color w:val="00000A"/>
                        </w:rPr>
                        <w:t xml:space="preserve">Les travaux doivent avoir été effectués par des </w:t>
                      </w:r>
                      <w:r>
                        <w:rPr>
                          <w:rStyle w:val="Accentuationforte"/>
                          <w:rFonts w:eastAsia="Calibri" w:cs="" w:cstheme="minorBidi" w:eastAsiaTheme="minorHAnsi"/>
                          <w:color w:val="00000A"/>
                        </w:rPr>
                        <w:t>entreprises labellisées RGE</w:t>
                      </w:r>
                      <w:r>
                        <w:rPr>
                          <w:rFonts w:eastAsia="Calibri" w:cs="" w:cstheme="minorBidi" w:eastAsiaTheme="minorHAnsi"/>
                          <w:b/>
                          <w:bCs/>
                          <w:color w:val="00000A"/>
                        </w:rPr>
                        <w:t xml:space="preserve"> (reconnues garantes pour l’environnement).</w:t>
                      </w:r>
                    </w:p>
                    <w:p>
                      <w:pPr>
                        <w:pStyle w:val="Corpsdetexte"/>
                        <w:rPr/>
                      </w:pPr>
                      <w:r>
                        <w:rPr/>
                        <w:t xml:space="preserve">Le montant de la prime varie en fonction des matériaux et des équipements éligibles dans la limite d’un plafond de </w:t>
                      </w:r>
                      <w:r>
                        <w:rPr>
                          <w:rStyle w:val="Accentuationforte"/>
                        </w:rPr>
                        <w:t>20 000 €</w:t>
                      </w:r>
                      <w:r>
                        <w:rPr/>
                        <w:t xml:space="preserve"> pour des travaux sur un logement et pendant une durée maximale de </w:t>
                      </w:r>
                      <w:r>
                        <w:rPr>
                          <w:rStyle w:val="Accentuationforte"/>
                        </w:rPr>
                        <w:t>5 ans.</w:t>
                      </w:r>
                    </w:p>
                    <w:p>
                      <w:pPr>
                        <w:pStyle w:val="Contenudecadre"/>
                        <w:overflowPunct w:val="false"/>
                        <w:spacing w:lineRule="auto" w:line="240" w:before="0" w:after="0"/>
                        <w:rPr/>
                      </w:pPr>
                      <w:r>
                        <w:rPr>
                          <w:rFonts w:eastAsia="Calibri" w:cs="" w:cstheme="minorBidi" w:eastAsiaTheme="minorHAnsi"/>
                          <w:b/>
                          <w:bCs/>
                          <w:color w:val="00000A"/>
                        </w:rPr>
                        <w:t>La préfecture de l’Aisne et la direction départementale des territoires ont organisé deux réunions d’information en janvier et février 2021 sur ce sujet avec les acteurs du bâtiment.</w:t>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00000A"/>
                        </w:rPr>
                        <w:t>Les chiffres des présents tableaux reprennent les montants déjà versés, qui sont sensiblement inférieurs à ceux des aides attribuées. Ainsi, au 19 avril 2021, 1 569 dossiers avaient déjà fait l’objet d’une attribution, pour un montant d’aides de 6,3 millions d’euros.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écologique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968</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9520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8180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7088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968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711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4715" cy="2425700"/>
                <wp:effectExtent l="0" t="0" r="0" b="0"/>
                <wp:wrapNone/>
                <wp:docPr id="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8880" cy="139065"/>
                <wp:effectExtent l="0" t="0" r="0" b="0"/>
                <wp:wrapNone/>
                <wp:docPr id="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28575</wp:posOffset>
                </wp:positionV>
                <wp:extent cx="5974715" cy="2651760"/>
                <wp:effectExtent l="0" t="0" r="0" b="0"/>
                <wp:wrapNone/>
                <wp:docPr id="1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val="false"/>
                                <w:bCs w:val="false"/>
                                <w:color w:val="00000A"/>
                              </w:rPr>
                              <w:t>Le bonus écologique est une aide de l’État attribuée lors de l’</w:t>
                            </w:r>
                            <w:r>
                              <w:rPr>
                                <w:rStyle w:val="Accentuationforte"/>
                                <w:rFonts w:eastAsia="Calibri" w:cs="" w:cstheme="minorBidi" w:eastAsiaTheme="minorHAnsi"/>
                                <w:b w:val="false"/>
                                <w:bCs w:val="false"/>
                                <w:color w:val="00000A"/>
                              </w:rPr>
                              <w:t>achat ou de la location d’un véhicule neuf émettant peu de CO</w:t>
                            </w:r>
                            <w:r>
                              <w:rPr>
                                <w:rStyle w:val="Accentuationforte"/>
                                <w:rFonts w:eastAsia="Calibri" w:cs="" w:cstheme="minorBidi" w:eastAsiaTheme="minorHAnsi"/>
                                <w:b w:val="false"/>
                                <w:bCs w:val="false"/>
                                <w:color w:val="00000A"/>
                                <w:position w:val="-3"/>
                                <w:sz w:val="18"/>
                                <w:szCs w:val="18"/>
                              </w:rPr>
                              <w:t>2</w:t>
                            </w:r>
                            <w:r>
                              <w:rPr>
                                <w:rFonts w:eastAsia="Calibri" w:cs="" w:cstheme="minorBidi" w:eastAsiaTheme="minorHAnsi"/>
                                <w:b w:val="false"/>
                                <w:bCs w:val="false"/>
                                <w:color w:val="00000A"/>
                              </w:rPr>
                              <w:t xml:space="preserve">. Il peut s’agir d’un véhicule </w:t>
                            </w:r>
                            <w:r>
                              <w:rPr>
                                <w:rStyle w:val="Accentuationforte"/>
                                <w:rFonts w:eastAsia="Calibri" w:cs="" w:cstheme="minorBidi" w:eastAsiaTheme="minorHAnsi"/>
                                <w:b w:val="false"/>
                                <w:bCs w:val="false"/>
                                <w:color w:val="00000A"/>
                              </w:rPr>
                              <w:t>électrique</w:t>
                            </w:r>
                            <w:r>
                              <w:rPr>
                                <w:rFonts w:eastAsia="Calibri" w:cs="" w:cstheme="minorBidi" w:eastAsiaTheme="minorHAnsi"/>
                                <w:b w:val="false"/>
                                <w:bCs w:val="false"/>
                                <w:color w:val="00000A"/>
                              </w:rPr>
                              <w:t xml:space="preserve">, </w:t>
                            </w:r>
                            <w:r>
                              <w:rPr>
                                <w:rStyle w:val="Accentuationforte"/>
                                <w:rFonts w:eastAsia="Calibri" w:cs="" w:cstheme="minorBidi" w:eastAsiaTheme="minorHAnsi"/>
                                <w:b w:val="false"/>
                                <w:bCs w:val="false"/>
                                <w:color w:val="00000A"/>
                              </w:rPr>
                              <w:t>hydrogène</w:t>
                            </w:r>
                            <w:r>
                              <w:rPr>
                                <w:rFonts w:eastAsia="Calibri" w:cs="" w:cstheme="minorBidi" w:eastAsiaTheme="minorHAnsi"/>
                                <w:b w:val="false"/>
                                <w:bCs w:val="false"/>
                                <w:color w:val="00000A"/>
                              </w:rPr>
                              <w:t xml:space="preserve"> ou </w:t>
                            </w:r>
                            <w:r>
                              <w:rPr>
                                <w:rStyle w:val="Accentuationforte"/>
                                <w:rFonts w:eastAsia="Calibri" w:cs="" w:cstheme="minorBidi" w:eastAsiaTheme="minorHAnsi"/>
                                <w:b w:val="false"/>
                                <w:bCs w:val="false"/>
                                <w:color w:val="00000A"/>
                              </w:rPr>
                              <w:t>hybride rechargeable</w:t>
                            </w:r>
                            <w:r>
                              <w:rPr>
                                <w:rFonts w:eastAsia="Calibri" w:cs="" w:cstheme="minorBidi" w:eastAsiaTheme="minorHAnsi"/>
                                <w:b w:val="false"/>
                                <w:bCs w:val="false"/>
                                <w:color w:val="00000A"/>
                              </w:rPr>
                              <w:t>. Il est également possible de bénéficier de cette aide pour</w:t>
                            </w:r>
                            <w:r>
                              <w:rPr>
                                <w:rStyle w:val="Accentuationforte"/>
                                <w:rFonts w:eastAsia="Calibri" w:cs="" w:cstheme="minorBidi" w:eastAsiaTheme="minorHAnsi"/>
                                <w:b w:val="false"/>
                                <w:bCs w:val="false"/>
                                <w:color w:val="00000A"/>
                              </w:rPr>
                              <w:t xml:space="preserve"> l'achat ou la location d'un véhicule électrique d'occasion</w:t>
                            </w:r>
                            <w:r>
                              <w:rPr>
                                <w:rFonts w:eastAsia="Calibri" w:cs="" w:cstheme="minorBidi" w:eastAsiaTheme="minorHAnsi"/>
                                <w:b w:val="false"/>
                                <w:bCs w:val="false"/>
                                <w:color w:val="00000A"/>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Fonts w:eastAsia="Calibri" w:cs="" w:cstheme="minorBidi" w:eastAsiaTheme="minorHAnsi"/>
                                <w:b w:val="false"/>
                                <w:bCs w:val="false"/>
                                <w:color w:val="00000A"/>
                              </w:rPr>
                              <w:t>Le montant du bonus dépend du type de motorisation et du prix du véhicule.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t>La demande du bonus se fait via le</w:t>
                            </w:r>
                            <w:r>
                              <w:rPr>
                                <w:rStyle w:val="Accentuationforte"/>
                              </w:rPr>
                              <w:t xml:space="preserve"> concessionnaire</w:t>
                            </w:r>
                            <w:r>
                              <w:rPr/>
                              <w:t xml:space="preserve"> qui  avance le montant de l’aide, ou directement sur le site </w:t>
                            </w:r>
                            <w:hyperlink r:id="rId2" w:tgtFrame="_blank">
                              <w:r>
                                <w:rPr>
                                  <w:rStyle w:val="LienInternet"/>
                                </w:rPr>
                                <w:t>Prime à la conversion</w:t>
                              </w:r>
                            </w:hyperlink>
                            <w:r>
                              <w:rPr/>
                              <w:t>.</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val="false"/>
                          <w:bCs w:val="false"/>
                          <w:color w:val="00000A"/>
                        </w:rPr>
                        <w:t>Le bonus écologique est une aide de l’État attribuée lors de l’</w:t>
                      </w:r>
                      <w:r>
                        <w:rPr>
                          <w:rStyle w:val="Accentuationforte"/>
                          <w:rFonts w:eastAsia="Calibri" w:cs="" w:cstheme="minorBidi" w:eastAsiaTheme="minorHAnsi"/>
                          <w:b w:val="false"/>
                          <w:bCs w:val="false"/>
                          <w:color w:val="00000A"/>
                        </w:rPr>
                        <w:t>achat ou de la location d’un véhicule neuf émettant peu de CO</w:t>
                      </w:r>
                      <w:r>
                        <w:rPr>
                          <w:rStyle w:val="Accentuationforte"/>
                          <w:rFonts w:eastAsia="Calibri" w:cs="" w:cstheme="minorBidi" w:eastAsiaTheme="minorHAnsi"/>
                          <w:b w:val="false"/>
                          <w:bCs w:val="false"/>
                          <w:color w:val="00000A"/>
                          <w:position w:val="-3"/>
                          <w:sz w:val="18"/>
                          <w:szCs w:val="18"/>
                        </w:rPr>
                        <w:t>2</w:t>
                      </w:r>
                      <w:r>
                        <w:rPr>
                          <w:rFonts w:eastAsia="Calibri" w:cs="" w:cstheme="minorBidi" w:eastAsiaTheme="minorHAnsi"/>
                          <w:b w:val="false"/>
                          <w:bCs w:val="false"/>
                          <w:color w:val="00000A"/>
                        </w:rPr>
                        <w:t xml:space="preserve">. Il peut s’agir d’un véhicule </w:t>
                      </w:r>
                      <w:r>
                        <w:rPr>
                          <w:rStyle w:val="Accentuationforte"/>
                          <w:rFonts w:eastAsia="Calibri" w:cs="" w:cstheme="minorBidi" w:eastAsiaTheme="minorHAnsi"/>
                          <w:b w:val="false"/>
                          <w:bCs w:val="false"/>
                          <w:color w:val="00000A"/>
                        </w:rPr>
                        <w:t>électrique</w:t>
                      </w:r>
                      <w:r>
                        <w:rPr>
                          <w:rFonts w:eastAsia="Calibri" w:cs="" w:cstheme="minorBidi" w:eastAsiaTheme="minorHAnsi"/>
                          <w:b w:val="false"/>
                          <w:bCs w:val="false"/>
                          <w:color w:val="00000A"/>
                        </w:rPr>
                        <w:t xml:space="preserve">, </w:t>
                      </w:r>
                      <w:r>
                        <w:rPr>
                          <w:rStyle w:val="Accentuationforte"/>
                          <w:rFonts w:eastAsia="Calibri" w:cs="" w:cstheme="minorBidi" w:eastAsiaTheme="minorHAnsi"/>
                          <w:b w:val="false"/>
                          <w:bCs w:val="false"/>
                          <w:color w:val="00000A"/>
                        </w:rPr>
                        <w:t>hydrogène</w:t>
                      </w:r>
                      <w:r>
                        <w:rPr>
                          <w:rFonts w:eastAsia="Calibri" w:cs="" w:cstheme="minorBidi" w:eastAsiaTheme="minorHAnsi"/>
                          <w:b w:val="false"/>
                          <w:bCs w:val="false"/>
                          <w:color w:val="00000A"/>
                        </w:rPr>
                        <w:t xml:space="preserve"> ou </w:t>
                      </w:r>
                      <w:r>
                        <w:rPr>
                          <w:rStyle w:val="Accentuationforte"/>
                          <w:rFonts w:eastAsia="Calibri" w:cs="" w:cstheme="minorBidi" w:eastAsiaTheme="minorHAnsi"/>
                          <w:b w:val="false"/>
                          <w:bCs w:val="false"/>
                          <w:color w:val="00000A"/>
                        </w:rPr>
                        <w:t>hybride rechargeable</w:t>
                      </w:r>
                      <w:r>
                        <w:rPr>
                          <w:rFonts w:eastAsia="Calibri" w:cs="" w:cstheme="minorBidi" w:eastAsiaTheme="minorHAnsi"/>
                          <w:b w:val="false"/>
                          <w:bCs w:val="false"/>
                          <w:color w:val="00000A"/>
                        </w:rPr>
                        <w:t>. Il est également possible de bénéficier de cette aide pour</w:t>
                      </w:r>
                      <w:r>
                        <w:rPr>
                          <w:rStyle w:val="Accentuationforte"/>
                          <w:rFonts w:eastAsia="Calibri" w:cs="" w:cstheme="minorBidi" w:eastAsiaTheme="minorHAnsi"/>
                          <w:b w:val="false"/>
                          <w:bCs w:val="false"/>
                          <w:color w:val="00000A"/>
                        </w:rPr>
                        <w:t xml:space="preserve"> l'achat ou la location d'un véhicule électrique d'occasion</w:t>
                      </w:r>
                      <w:r>
                        <w:rPr>
                          <w:rFonts w:eastAsia="Calibri" w:cs="" w:cstheme="minorBidi" w:eastAsiaTheme="minorHAnsi"/>
                          <w:b w:val="false"/>
                          <w:bCs w:val="false"/>
                          <w:color w:val="00000A"/>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Fonts w:eastAsia="Calibri" w:cs="" w:cstheme="minorBidi" w:eastAsiaTheme="minorHAnsi"/>
                          <w:b w:val="false"/>
                          <w:bCs w:val="false"/>
                          <w:color w:val="00000A"/>
                        </w:rPr>
                        <w:t>Le montant du bonus dépend du type de motorisation et du prix du véhicule.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t>La demande du bonus se fait via le</w:t>
                      </w:r>
                      <w:r>
                        <w:rPr>
                          <w:rStyle w:val="Accentuationforte"/>
                        </w:rPr>
                        <w:t xml:space="preserve"> concessionnaire</w:t>
                      </w:r>
                      <w:r>
                        <w:rPr/>
                        <w:t xml:space="preserve"> qui  avance le montant de l’aide, ou directement sur le site </w:t>
                      </w:r>
                      <w:hyperlink r:id="rId3" w:tgtFrame="_blank">
                        <w:r>
                          <w:rPr>
                            <w:rStyle w:val="LienInternet"/>
                          </w:rPr>
                          <w:t>Prime à la conversion</w:t>
                        </w:r>
                      </w:hyperlink>
                      <w:r>
                        <w:rPr/>
                        <w:t>.</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1</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4715" cy="2425700"/>
                <wp:effectExtent l="0" t="0" r="0" b="0"/>
                <wp:wrapNone/>
                <wp:docPr id="1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8880" cy="139065"/>
                <wp:effectExtent l="0" t="0" r="0" b="0"/>
                <wp:wrapNone/>
                <wp:docPr id="1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4715" cy="2651760"/>
                <wp:effectExtent l="0" t="0" r="0" b="0"/>
                <wp:wrapNone/>
                <wp:docPr id="1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Dans l’Aisne, la société Saica Paper à Venizel a été retenue au titre de l’appel à projets « Fonds décarbonation de l’industrie – aide à l’investissement pour l’efficacité énergétique », géré par l’ADEME. L’entreprise va installer une turbine de production d’électricité utilisant la chaleur de sa chaudière biomasse.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D’autres dossiers sont en cours d’instruction.</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Dans l’Aisne, la société Saica Paper à Venizel a été retenue au titre de l’appel à projets « Fonds décarbonation de l’industrie – aide à l’investissement pour l’efficacité énergétique », géré par l’ADEME. L’entreprise va installer une turbine de production d’électricité utilisant la chaleur de sa chaudière biomasse.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D’autres dossiers sont en cours d’instruction.</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trike/>
        </w:rPr>
      </w:pPr>
      <w:r>
        <w:rPr>
          <w:rFonts w:cs="Arial" w:ascii="Arial" w:hAnsi="Arial"/>
          <w:i/>
          <w:iCs/>
          <w:strike w:val="false"/>
          <w:dstrike w:val="false"/>
          <w:sz w:val="22"/>
          <w:szCs w:val="22"/>
        </w:rPr>
        <w:t>Données cumulées depuis le début du financement de la mesure par le plan de relance</w:t>
      </w:r>
    </w:p>
    <w:p>
      <w:pPr>
        <w:pStyle w:val="Normal"/>
        <w:rPr>
          <w:sz w:val="20"/>
          <w:szCs w:val="20"/>
        </w:rPr>
      </w:pPr>
      <w:r>
        <w:rPr>
          <w:rFonts w:cs="Arial" w:ascii="Arial" w:hAnsi="Arial"/>
          <w:strike w:val="false"/>
          <w:dstrike w:val="false"/>
          <w:sz w:val="20"/>
          <w:szCs w:val="20"/>
        </w:rPr>
        <w:t>Mars     2021, Nombre de PME : 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trike w:val="false"/>
                <w:dstrike w:val="false"/>
                <w:sz w:val="20"/>
                <w:szCs w:val="20"/>
              </w:rPr>
              <w:t xml:space="preserve"> </w:t>
            </w:r>
            <w:r>
              <w:rPr>
                <w:b/>
                <w:bCs/>
                <w:strike w:val="false"/>
                <w:dstrike w:val="false"/>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trike w:val="false"/>
                <w:dstrike w:val="false"/>
                <w:sz w:val="20"/>
                <w:szCs w:val="20"/>
              </w:rPr>
              <w:t xml:space="preserve">         </w:t>
            </w:r>
          </w:p>
          <w:p>
            <w:pPr>
              <w:pStyle w:val="Normal"/>
              <w:spacing w:lineRule="auto" w:line="240" w:before="0" w:after="0"/>
              <w:jc w:val="center"/>
              <w:rPr>
                <w:color w:val="FFFFFF"/>
              </w:rPr>
            </w:pPr>
            <w:r>
              <w:rPr>
                <w:rFonts w:cs="Arial" w:ascii="Arial" w:hAnsi="Arial"/>
                <w:b/>
                <w:bCs/>
                <w:strike w:val="false"/>
                <w:dstrike w:val="false"/>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trike w:val="false"/>
                <w:dstrike w:val="false"/>
                <w:sz w:val="20"/>
                <w:szCs w:val="20"/>
              </w:rPr>
              <w:t xml:space="preserve">         </w:t>
            </w:r>
          </w:p>
          <w:p>
            <w:pPr>
              <w:pStyle w:val="Normal"/>
              <w:spacing w:lineRule="auto" w:line="240" w:before="0" w:after="0"/>
              <w:jc w:val="center"/>
              <w:rPr>
                <w:color w:val="FFFFFF"/>
              </w:rPr>
            </w:pPr>
            <w:r>
              <w:rPr>
                <w:rFonts w:cs="Arial" w:ascii="Arial" w:hAnsi="Arial"/>
                <w:b/>
                <w:bCs/>
                <w:strike w:val="false"/>
                <w:dstrike w:val="false"/>
                <w:color w:val="FFFFFF"/>
                <w:sz w:val="20"/>
                <w:szCs w:val="20"/>
              </w:rPr>
              <w:t>Nombre de PME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299  </w:t>
            </w:r>
          </w:p>
        </w:tc>
      </w:tr>
    </w:tbl>
    <w:p>
      <w:pPr>
        <w:pStyle w:val="Normal"/>
        <w:rPr>
          <w:strike w:val="false"/>
          <w:dstrike w:val="false"/>
          <w:sz w:val="4"/>
          <w:szCs w:val="4"/>
        </w:rPr>
      </w:pPr>
      <w:r>
        <w:rPr>
          <w:strike w:val="false"/>
          <w:dstrike w:val="false"/>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trike w:val="false"/>
                <w:dstrike w:val="false"/>
                <w:sz w:val="20"/>
                <w:szCs w:val="20"/>
              </w:rPr>
              <w:t xml:space="preserve"> </w:t>
            </w:r>
            <w:r>
              <w:rPr>
                <w:b/>
                <w:bCs/>
                <w:strike w:val="false"/>
                <w:dstrike w:val="false"/>
                <w:sz w:val="20"/>
                <w:szCs w:val="20"/>
              </w:rPr>
              <w:t>Niveau Régional </w:t>
            </w:r>
            <w:bookmarkStart w:id="3" w:name="__DdeLink__225_36144007583"/>
            <w:bookmarkEnd w:id="3"/>
            <w:r>
              <w:rPr>
                <w:b/>
                <w:bCs/>
                <w:strike w:val="false"/>
                <w:dstrike w:val="false"/>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trike w:val="false"/>
                <w:dstrike w:val="false"/>
                <w:sz w:val="20"/>
                <w:szCs w:val="20"/>
              </w:rPr>
              <w:t xml:space="preserve">   </w:t>
            </w:r>
          </w:p>
          <w:p>
            <w:pPr>
              <w:pStyle w:val="Normal"/>
              <w:spacing w:lineRule="auto" w:line="240" w:before="0" w:after="0"/>
              <w:jc w:val="center"/>
              <w:rPr>
                <w:color w:val="FFFFFF"/>
              </w:rPr>
            </w:pPr>
            <w:r>
              <w:rPr>
                <w:rFonts w:cs="Arial" w:ascii="Arial" w:hAnsi="Arial"/>
                <w:b/>
                <w:bCs/>
                <w:strike w:val="false"/>
                <w:dstrike w:val="false"/>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trike w:val="false"/>
                <w:dstrike w:val="false"/>
                <w:sz w:val="20"/>
                <w:szCs w:val="20"/>
              </w:rPr>
              <w:t xml:space="preserve">   </w:t>
            </w:r>
          </w:p>
          <w:p>
            <w:pPr>
              <w:pStyle w:val="Normal"/>
              <w:spacing w:lineRule="auto" w:line="240" w:before="0" w:after="0"/>
              <w:jc w:val="center"/>
              <w:rPr>
                <w:color w:val="FFFFFF"/>
              </w:rPr>
            </w:pPr>
            <w:r>
              <w:rPr>
                <w:rFonts w:cs="Arial" w:ascii="Arial" w:hAnsi="Arial"/>
                <w:b/>
                <w:bCs/>
                <w:strike w:val="false"/>
                <w:dstrike w:val="false"/>
                <w:color w:val="FFFFFF"/>
                <w:sz w:val="20"/>
                <w:szCs w:val="20"/>
              </w:rPr>
              <w:t>Nombre de PME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20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20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pPr>
            <w:r>
              <w:rPr>
                <w:rStyle w:val="Textesource"/>
                <w:rFonts w:cs="Arial" w:ascii="Arial" w:hAnsi="Arial"/>
                <w:strike w:val="false"/>
                <w:dstrike w:val="false"/>
                <w:sz w:val="20"/>
                <w:szCs w:val="20"/>
              </w:rPr>
              <w:t xml:space="preserve">20  </w:t>
            </w:r>
          </w:p>
        </w:tc>
      </w:tr>
    </w:tbl>
    <w:p>
      <w:pPr>
        <w:pStyle w:val="Normal"/>
        <w:rPr>
          <w:strike w:val="false"/>
          <w:dstrike w:val="false"/>
          <w:sz w:val="4"/>
          <w:szCs w:val="4"/>
        </w:rPr>
      </w:pPr>
      <w:r>
        <w:rPr>
          <w:strike w:val="false"/>
          <w:dstrike w:val="false"/>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trike/>
                <w:sz w:val="20"/>
                <w:szCs w:val="20"/>
              </w:rPr>
              <w:t xml:space="preserve"> </w:t>
            </w:r>
            <w:r>
              <w:rPr>
                <w:b/>
                <w:bCs/>
                <w:strike/>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trike w:val="false"/>
                <w:dstrike w:val="false"/>
                <w:sz w:val="20"/>
                <w:szCs w:val="20"/>
              </w:rPr>
            </w:pPr>
            <w:r>
              <w:rPr>
                <w:strike w:val="false"/>
                <w:dstrike w:val="false"/>
                <w:sz w:val="20"/>
                <w:szCs w:val="20"/>
              </w:rPr>
            </w:r>
          </w:p>
          <w:p>
            <w:pPr>
              <w:pStyle w:val="Normal"/>
              <w:spacing w:lineRule="auto" w:line="240" w:before="0" w:after="0"/>
              <w:jc w:val="center"/>
              <w:rPr>
                <w:sz w:val="20"/>
                <w:szCs w:val="20"/>
              </w:rPr>
            </w:pPr>
            <w:r>
              <w:rPr>
                <w:rFonts w:cs="Arial" w:ascii="Arial" w:hAnsi="Arial"/>
                <w:b/>
                <w:bCs/>
                <w:strike w:val="false"/>
                <w:dstrike w:val="false"/>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trike w:val="false"/>
                <w:dstrike w:val="false"/>
                <w:sz w:val="20"/>
                <w:szCs w:val="20"/>
              </w:rPr>
            </w:pPr>
            <w:r>
              <w:rPr>
                <w:strike w:val="false"/>
                <w:dstrike w:val="false"/>
                <w:sz w:val="20"/>
                <w:szCs w:val="20"/>
              </w:rPr>
            </w:r>
          </w:p>
          <w:p>
            <w:pPr>
              <w:pStyle w:val="Normal"/>
              <w:spacing w:lineRule="auto" w:line="240" w:before="0" w:after="0"/>
              <w:jc w:val="center"/>
              <w:rPr>
                <w:sz w:val="20"/>
                <w:szCs w:val="20"/>
              </w:rPr>
            </w:pPr>
            <w:r>
              <w:rPr>
                <w:rFonts w:cs="Arial" w:ascii="Arial" w:hAnsi="Arial"/>
                <w:b/>
                <w:bCs/>
                <w:strike w:val="false"/>
                <w:dstrike w:val="false"/>
                <w:color w:val="FFFFFF"/>
                <w:sz w:val="20"/>
                <w:szCs w:val="20"/>
              </w:rPr>
              <w:t>Nombre de PME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trike w:val="false"/>
                <w:dstrike w:val="false"/>
              </w:rPr>
            </w:pPr>
            <w:r>
              <w:rPr>
                <w:rFonts w:cs="Arial" w:ascii="Arial" w:hAnsi="Arial"/>
                <w:strike w:val="false"/>
                <w:dstrike w:val="false"/>
                <w:sz w:val="20"/>
                <w:szCs w:val="20"/>
              </w:rPr>
              <w:t>3</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trike w:val="false"/>
                <w:dstrike w:val="false"/>
              </w:rPr>
            </w:pPr>
            <w:r>
              <w:rPr>
                <w:rFonts w:cs="Arial" w:ascii="Arial" w:hAnsi="Arial"/>
                <w:strike w:val="false"/>
                <w:dstrike w:val="false"/>
                <w:sz w:val="20"/>
                <w:szCs w:val="20"/>
              </w:rPr>
              <w:t>3</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z w:val="20"/>
                <w:szCs w:val="20"/>
              </w:rPr>
            </w:pPr>
            <w:r>
              <w:rPr>
                <w:rFonts w:cs="Arial" w:ascii="Arial" w:hAnsi="Arial"/>
                <w:strike w:val="false"/>
                <w:dstrike w:val="false"/>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strike w:val="false"/>
                <w:dstrike w:val="false"/>
              </w:rPr>
            </w:pPr>
            <w:r>
              <w:rPr>
                <w:strike w:val="false"/>
                <w:dstrike w:val="false"/>
              </w:rPr>
            </w:r>
          </w:p>
          <w:p>
            <w:pPr>
              <w:pStyle w:val="Normal"/>
              <w:spacing w:lineRule="auto" w:line="240" w:before="0" w:after="0"/>
              <w:jc w:val="center"/>
              <w:rPr>
                <w:strike w:val="false"/>
                <w:dstrike w:val="false"/>
              </w:rPr>
            </w:pPr>
            <w:r>
              <w:rPr>
                <w:rFonts w:cs="Arial" w:ascii="Arial" w:hAnsi="Arial"/>
                <w:strike w:val="false"/>
                <w:dstrike w:val="false"/>
                <w:sz w:val="20"/>
                <w:szCs w:val="20"/>
              </w:rPr>
              <w:t>3</w:t>
            </w:r>
          </w:p>
        </w:tc>
      </w:tr>
    </w:tbl>
    <w:p>
      <w:pPr>
        <w:pStyle w:val="Normal"/>
        <w:spacing w:before="0" w:after="160"/>
        <w:rPr>
          <w:strike/>
        </w:rPr>
      </w:pPr>
      <w:r>
        <w:rPr>
          <w:strike/>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4715" cy="2425700"/>
                <wp:effectExtent l="0" t="0" r="0" b="0"/>
                <wp:wrapNone/>
                <wp:docPr id="1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8880" cy="139065"/>
                <wp:effectExtent l="0" t="0" r="0" b="0"/>
                <wp:wrapNone/>
                <wp:docPr id="1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4715" cy="2651760"/>
                <wp:effectExtent l="0" t="0" r="0" b="0"/>
                <wp:wrapNone/>
                <wp:docPr id="2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val="false"/>
                                <w:bCs w:val="false"/>
                                <w:color w:val="00000A"/>
                              </w:rPr>
                              <w:t>Dans l’Aisne, ont déjà été retenus :</w:t>
                            </w:r>
                          </w:p>
                          <w:p>
                            <w:pPr>
                              <w:pStyle w:val="Contenudecadre"/>
                              <w:overflowPunct w:val="false"/>
                              <w:spacing w:lineRule="auto" w:line="240" w:before="0" w:after="0"/>
                              <w:rPr>
                                <w:rFonts w:eastAsia="Calibri" w:cs="" w:cstheme="minorBidi" w:eastAsiaTheme="minorHAnsi"/>
                                <w:b w:val="false"/>
                                <w:b w:val="false"/>
                                <w:bCs w:val="false"/>
                                <w:color w:val="00000A"/>
                              </w:rPr>
                            </w:pPr>
                            <w:r>
                              <w:rPr>
                                <w:rFonts w:eastAsia="Calibri" w:cs="" w:cstheme="minorBidi" w:eastAsiaTheme="minorHAnsi"/>
                                <w:b w:val="false"/>
                                <w:bCs w:val="false"/>
                                <w:color w:val="00000A"/>
                              </w:rPr>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MAHLE Filtersysteme à Seboncourt, spécialisée dans la fabrication de systèmes de filtration à air, de cache-culasses et de déshuileurs pour l’automobile et les camions. </w:t>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A2MAC1 à Hary, positionnée dans le benchmarking pour le secteur automobile. Les solutions qu’elle propose permettent d’accompagner les démarches de générations d’idées et d’innovations, en suivant les évolutions technologiques sur les enjeux clés de l’industrie tels que l’électrification des véhicules. Son site historique situé dans l’Aisne compte 170 salariés et héberge l’intégralité de ses équipes mondiales de recherche et développement. </w:t>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DEFTA à Essômes-sur-Marne, l’équipementier automobile est spécialisé dans la fabrication de mécanismes d’ouvrants, de composants et boîtes de vitesse et de freins de parking pour véhicules hybrides. </w:t>
                            </w:r>
                          </w:p>
                          <w:p>
                            <w:pPr>
                              <w:pStyle w:val="Contenudecadre"/>
                              <w:numPr>
                                <w:ilvl w:val="0"/>
                                <w:numId w:val="0"/>
                              </w:numPr>
                              <w:overflowPunct w:val="false"/>
                              <w:spacing w:lineRule="auto" w:line="240" w:before="0" w:after="0"/>
                              <w:ind w:left="720" w:hanging="0"/>
                              <w:rPr>
                                <w:rFonts w:eastAsia="Calibri" w:cs="" w:cstheme="minorBidi" w:eastAsia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pPr>
                            <w:r>
                              <w:rPr>
                                <w:rFonts w:eastAsia="Calibri" w:cs="" w:cstheme="minorBidi" w:eastAsiaTheme="minorHAnsi"/>
                                <w:b w:val="false"/>
                                <w:bCs w:val="false"/>
                                <w:color w:val="00000A"/>
                              </w:rPr>
                              <w:t>D’autres dossiers sont en cours d’instruction.</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sz w:val="26"/>
                                <w:szCs w:val="26"/>
                                <w:highlight w:val="yellow"/>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val="false"/>
                          <w:bCs w:val="false"/>
                          <w:color w:val="00000A"/>
                        </w:rPr>
                        <w:t>Dans l’Aisne, ont déjà été retenus :</w:t>
                      </w:r>
                    </w:p>
                    <w:p>
                      <w:pPr>
                        <w:pStyle w:val="Contenudecadre"/>
                        <w:overflowPunct w:val="false"/>
                        <w:spacing w:lineRule="auto" w:line="240" w:before="0" w:after="0"/>
                        <w:rPr>
                          <w:rFonts w:eastAsia="Calibri" w:cs="" w:cstheme="minorBidi" w:eastAsiaTheme="minorHAnsi"/>
                          <w:b w:val="false"/>
                          <w:b w:val="false"/>
                          <w:bCs w:val="false"/>
                          <w:color w:val="00000A"/>
                        </w:rPr>
                      </w:pPr>
                      <w:r>
                        <w:rPr>
                          <w:rFonts w:eastAsia="Calibri" w:cs="" w:cstheme="minorBidi" w:eastAsiaTheme="minorHAnsi"/>
                          <w:b w:val="false"/>
                          <w:bCs w:val="false"/>
                          <w:color w:val="00000A"/>
                        </w:rPr>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MAHLE Filtersysteme à Seboncourt, spécialisée dans la fabrication de systèmes de filtration à air, de cache-culasses et de déshuileurs pour l’automobile et les camions. </w:t>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A2MAC1 à Hary, positionnée dans le benchmarking pour le secteur automobile. Les solutions qu’elle propose permettent d’accompagner les démarches de générations d’idées et d’innovations, en suivant les évolutions technologiques sur les enjeux clés de l’industrie tels que l’électrification des véhicules. Son site historique situé dans l’Aisne compte 170 salariés et héberge l’intégralité de ses équipes mondiales de recherche et développement. </w:t>
                      </w:r>
                    </w:p>
                    <w:p>
                      <w:pPr>
                        <w:pStyle w:val="Contenudecadre"/>
                        <w:numPr>
                          <w:ilvl w:val="0"/>
                          <w:numId w:val="3"/>
                        </w:numPr>
                        <w:overflowPunct w:val="false"/>
                        <w:spacing w:lineRule="auto" w:line="240" w:before="0" w:after="0"/>
                        <w:rPr/>
                      </w:pPr>
                      <w:r>
                        <w:rPr>
                          <w:rFonts w:eastAsia="Calibri" w:cs="" w:cstheme="minorBidi" w:eastAsiaTheme="minorHAnsi"/>
                          <w:b w:val="false"/>
                          <w:bCs w:val="false"/>
                          <w:color w:val="00000A"/>
                        </w:rPr>
                        <w:t xml:space="preserve">DEFTA à Essômes-sur-Marne, l’équipementier automobile est spécialisé dans la fabrication de mécanismes d’ouvrants, de composants et boîtes de vitesse et de freins de parking pour véhicules hybrides. </w:t>
                      </w:r>
                    </w:p>
                    <w:p>
                      <w:pPr>
                        <w:pStyle w:val="Contenudecadre"/>
                        <w:numPr>
                          <w:ilvl w:val="0"/>
                          <w:numId w:val="0"/>
                        </w:numPr>
                        <w:overflowPunct w:val="false"/>
                        <w:spacing w:lineRule="auto" w:line="240" w:before="0" w:after="0"/>
                        <w:ind w:left="720" w:hanging="0"/>
                        <w:rPr>
                          <w:rFonts w:eastAsia="Calibri" w:cs="" w:cstheme="minorBidi" w:eastAsia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pPr>
                      <w:r>
                        <w:rPr>
                          <w:rFonts w:eastAsia="Calibri" w:cs="" w:cstheme="minorBidi" w:eastAsiaTheme="minorHAnsi"/>
                          <w:b w:val="false"/>
                          <w:bCs w:val="false"/>
                          <w:color w:val="00000A"/>
                        </w:rPr>
                        <w:t>D’autres dossiers sont en cours d’instruction.</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sz w:val="26"/>
                          <w:szCs w:val="26"/>
                          <w:highlight w:val="yellow"/>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highlight w:val="yellow"/>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1332</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16675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15673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14810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1332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1261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1203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4715" cy="2425700"/>
                <wp:effectExtent l="0" t="0" r="0" b="0"/>
                <wp:wrapNone/>
                <wp:docPr id="2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8880" cy="139065"/>
                <wp:effectExtent l="0" t="0" r="0" b="0"/>
                <wp:wrapNone/>
                <wp:docPr id="2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4715" cy="2651760"/>
                <wp:effectExtent l="0" t="0" r="0" b="0"/>
                <wp:wrapNone/>
                <wp:docPr id="2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rpsdetexte"/>
                              <w:rPr/>
                            </w:pPr>
                            <w:r>
                              <w:rPr/>
                              <w:t>L'objectif de la prime à la conversion est d'aider tous les Français, particuliers ou professionnels, à acheter un véhicule neuf ou d'occasion en échange de la mise au rebut d'un vieux véhicule. Les particuliers peuvent bénéficier jusqu'à 3 000 € pour l'achat d'un véhicule thermique neuf ou d'occasion et jusqu'à 5 000 € pour l'achat d'un véhicule électrique ou hybride rechargeable neuf ou d'occasion.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rpsdetexte"/>
                        <w:rPr/>
                      </w:pPr>
                      <w:r>
                        <w:rPr/>
                        <w:t>L'objectif de la prime à la conversion est d'aider tous les Français, particuliers ou professionnels, à acheter un véhicule neuf ou d'occasion en échange de la mise au rebut d'un vieux véhicule. Les particuliers peuvent bénéficier jusqu'à 3 000 € pour l'achat d'un véhicule thermique neuf ou d'occasion et jusqu'à 5 000 € pour l'achat d'un véhicule électrique ou hybride rechargeable neuf ou d'occasion.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États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6"/>
            <w:bookmarkEnd w:id="5"/>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4715" cy="2425700"/>
                <wp:effectExtent l="0" t="0" r="0" b="0"/>
                <wp:wrapNone/>
                <wp:docPr id="2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8880" cy="139065"/>
                <wp:effectExtent l="0" t="0" r="0" b="0"/>
                <wp:wrapNone/>
                <wp:docPr id="2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4715" cy="2651760"/>
                <wp:effectExtent l="0" t="0" r="0" b="0"/>
                <wp:wrapNone/>
                <wp:docPr id="3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 xml:space="preserve">Une enveloppe de </w:t>
                            </w:r>
                            <w:r>
                              <w:rPr>
                                <w:rStyle w:val="Accentuationforte"/>
                                <w:rFonts w:eastAsia="Calibri" w:cs="" w:cstheme="minorBidi" w:eastAsiaTheme="minorHAnsi"/>
                                <w:b w:val="false"/>
                                <w:bCs w:val="false"/>
                                <w:color w:val="00000A"/>
                              </w:rPr>
                              <w:t>4 Md€</w:t>
                            </w:r>
                            <w:r>
                              <w:rPr>
                                <w:rFonts w:eastAsia="Calibri" w:cs="" w:cstheme="minorBidi" w:eastAsiaTheme="minorHAnsi"/>
                                <w:b w:val="false"/>
                                <w:bCs w:val="false"/>
                                <w:color w:val="00000A"/>
                              </w:rPr>
                              <w:t xml:space="preserve"> est répartie entre les collectivités territoriales et l’État. Elle doit permettre de financer des </w:t>
                            </w:r>
                            <w:r>
                              <w:rPr>
                                <w:rStyle w:val="Accentuationforte"/>
                                <w:rFonts w:eastAsia="Calibri" w:cs="" w:cstheme="minorBidi" w:eastAsiaTheme="minorHAnsi"/>
                                <w:b w:val="false"/>
                                <w:bCs w:val="false"/>
                                <w:color w:val="00000A"/>
                              </w:rPr>
                              <w:t>projets de rénovation énergétique de bâtiments publics</w:t>
                            </w:r>
                            <w:r>
                              <w:rPr>
                                <w:rFonts w:eastAsia="Calibri" w:cs="" w:cstheme="minorBidi" w:eastAsiaTheme="minorHAnsi"/>
                                <w:b w:val="false"/>
                                <w:bCs w:val="false"/>
                                <w:color w:val="00000A"/>
                              </w:rPr>
                              <w:t xml:space="preserve"> : le changement de fenêtres, de chaudières, l’isolation, etc.</w:t>
                            </w:r>
                          </w:p>
                          <w:p>
                            <w:pPr>
                              <w:pStyle w:val="Corpsdetexte"/>
                              <w:overflowPunct w:val="false"/>
                              <w:spacing w:lineRule="auto" w:line="240" w:before="0" w:after="0"/>
                              <w:rPr>
                                <w:b w:val="false"/>
                                <w:b w:val="false"/>
                                <w:bCs w:val="false"/>
                              </w:rPr>
                            </w:pPr>
                            <w:r>
                              <w:rPr>
                                <w:b w:val="false"/>
                                <w:bCs w:val="false"/>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Ce plan est à destination de l’ensemble des personnes publiques : l’</w:t>
                            </w:r>
                            <w:r>
                              <w:rPr>
                                <w:rStyle w:val="Accentuationforte"/>
                                <w:rFonts w:eastAsia="Calibri" w:cs="" w:cstheme="minorBidi" w:eastAsiaTheme="minorHAnsi"/>
                                <w:b w:val="false"/>
                                <w:bCs w:val="false"/>
                                <w:color w:val="00000A"/>
                              </w:rPr>
                              <w:t>État</w:t>
                            </w:r>
                            <w:r>
                              <w:rPr>
                                <w:rFonts w:eastAsia="Calibri" w:cs="" w:cstheme="minorBidi" w:eastAsiaTheme="minorHAnsi"/>
                                <w:b w:val="false"/>
                                <w:bCs w:val="false"/>
                                <w:color w:val="00000A"/>
                              </w:rPr>
                              <w:t xml:space="preserve">, les </w:t>
                            </w:r>
                            <w:r>
                              <w:rPr>
                                <w:rStyle w:val="Accentuationforte"/>
                                <w:rFonts w:eastAsia="Calibri" w:cs="" w:cstheme="minorBidi" w:eastAsiaTheme="minorHAnsi"/>
                                <w:b w:val="false"/>
                                <w:bCs w:val="false"/>
                                <w:color w:val="00000A"/>
                              </w:rPr>
                              <w:t>opérateurs de l’État</w:t>
                            </w:r>
                            <w:r>
                              <w:rPr>
                                <w:rFonts w:eastAsia="Calibri" w:cs="" w:cstheme="minorBidi" w:eastAsiaTheme="minorHAnsi"/>
                                <w:b w:val="false"/>
                                <w:bCs w:val="false"/>
                                <w:color w:val="00000A"/>
                              </w:rPr>
                              <w:t xml:space="preserve"> et les</w:t>
                            </w:r>
                            <w:r>
                              <w:rPr>
                                <w:rStyle w:val="Accentuationforte"/>
                                <w:rFonts w:eastAsia="Calibri" w:cs="" w:cstheme="minorBidi" w:eastAsiaTheme="minorHAnsi"/>
                                <w:b w:val="false"/>
                                <w:bCs w:val="false"/>
                                <w:color w:val="00000A"/>
                              </w:rPr>
                              <w:t xml:space="preserve"> collectivités territoriales</w:t>
                            </w:r>
                            <w:r>
                              <w:rPr>
                                <w:rFonts w:eastAsia="Calibri" w:cs="" w:cstheme="minorBidi" w:eastAsiaTheme="minorHAnsi"/>
                                <w:b w:val="false"/>
                                <w:bCs w:val="false"/>
                                <w:color w:val="00000A"/>
                              </w:rPr>
                              <w:t>.</w:t>
                            </w:r>
                          </w:p>
                          <w:p>
                            <w:pPr>
                              <w:pStyle w:val="Corpsdetexte"/>
                              <w:overflowPunct w:val="false"/>
                              <w:spacing w:lineRule="auto" w:line="240" w:before="0" w:after="0"/>
                              <w:rPr>
                                <w:b w:val="false"/>
                                <w:b w:val="false"/>
                                <w:bCs w:val="false"/>
                              </w:rPr>
                            </w:pPr>
                            <w:r>
                              <w:rPr>
                                <w:b w:val="false"/>
                                <w:bCs w:val="false"/>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Dans l’Aisne, 27 projets de bâtiments de l’État ont été retenus dans le cadre d’opérations de rénovation énergétique, pour un montant total d’opérations de 5,37 millions d’euros. Parmi ceux-ci, se trouvent notamment les cités administratives de Laon et de Soissons.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 xml:space="preserve">Une enveloppe de </w:t>
                      </w:r>
                      <w:r>
                        <w:rPr>
                          <w:rStyle w:val="Accentuationforte"/>
                          <w:rFonts w:eastAsia="Calibri" w:cs="" w:cstheme="minorBidi" w:eastAsiaTheme="minorHAnsi"/>
                          <w:b w:val="false"/>
                          <w:bCs w:val="false"/>
                          <w:color w:val="00000A"/>
                        </w:rPr>
                        <w:t>4 Md€</w:t>
                      </w:r>
                      <w:r>
                        <w:rPr>
                          <w:rFonts w:eastAsia="Calibri" w:cs="" w:cstheme="minorBidi" w:eastAsiaTheme="minorHAnsi"/>
                          <w:b w:val="false"/>
                          <w:bCs w:val="false"/>
                          <w:color w:val="00000A"/>
                        </w:rPr>
                        <w:t xml:space="preserve"> est répartie entre les collectivités territoriales et l’État. Elle doit permettre de financer des </w:t>
                      </w:r>
                      <w:r>
                        <w:rPr>
                          <w:rStyle w:val="Accentuationforte"/>
                          <w:rFonts w:eastAsia="Calibri" w:cs="" w:cstheme="minorBidi" w:eastAsiaTheme="minorHAnsi"/>
                          <w:b w:val="false"/>
                          <w:bCs w:val="false"/>
                          <w:color w:val="00000A"/>
                        </w:rPr>
                        <w:t>projets de rénovation énergétique de bâtiments publics</w:t>
                      </w:r>
                      <w:r>
                        <w:rPr>
                          <w:rFonts w:eastAsia="Calibri" w:cs="" w:cstheme="minorBidi" w:eastAsiaTheme="minorHAnsi"/>
                          <w:b w:val="false"/>
                          <w:bCs w:val="false"/>
                          <w:color w:val="00000A"/>
                        </w:rPr>
                        <w:t xml:space="preserve"> : le changement de fenêtres, de chaudières, l’isolation, etc.</w:t>
                      </w:r>
                    </w:p>
                    <w:p>
                      <w:pPr>
                        <w:pStyle w:val="Corpsdetexte"/>
                        <w:overflowPunct w:val="false"/>
                        <w:spacing w:lineRule="auto" w:line="240" w:before="0" w:after="0"/>
                        <w:rPr>
                          <w:b w:val="false"/>
                          <w:b w:val="false"/>
                          <w:bCs w:val="false"/>
                        </w:rPr>
                      </w:pPr>
                      <w:r>
                        <w:rPr>
                          <w:b w:val="false"/>
                          <w:bCs w:val="false"/>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Ce plan est à destination de l’ensemble des personnes publiques : l’</w:t>
                      </w:r>
                      <w:r>
                        <w:rPr>
                          <w:rStyle w:val="Accentuationforte"/>
                          <w:rFonts w:eastAsia="Calibri" w:cs="" w:cstheme="minorBidi" w:eastAsiaTheme="minorHAnsi"/>
                          <w:b w:val="false"/>
                          <w:bCs w:val="false"/>
                          <w:color w:val="00000A"/>
                        </w:rPr>
                        <w:t>État</w:t>
                      </w:r>
                      <w:r>
                        <w:rPr>
                          <w:rFonts w:eastAsia="Calibri" w:cs="" w:cstheme="minorBidi" w:eastAsiaTheme="minorHAnsi"/>
                          <w:b w:val="false"/>
                          <w:bCs w:val="false"/>
                          <w:color w:val="00000A"/>
                        </w:rPr>
                        <w:t xml:space="preserve">, les </w:t>
                      </w:r>
                      <w:r>
                        <w:rPr>
                          <w:rStyle w:val="Accentuationforte"/>
                          <w:rFonts w:eastAsia="Calibri" w:cs="" w:cstheme="minorBidi" w:eastAsiaTheme="minorHAnsi"/>
                          <w:b w:val="false"/>
                          <w:bCs w:val="false"/>
                          <w:color w:val="00000A"/>
                        </w:rPr>
                        <w:t>opérateurs de l’État</w:t>
                      </w:r>
                      <w:r>
                        <w:rPr>
                          <w:rFonts w:eastAsia="Calibri" w:cs="" w:cstheme="minorBidi" w:eastAsiaTheme="minorHAnsi"/>
                          <w:b w:val="false"/>
                          <w:bCs w:val="false"/>
                          <w:color w:val="00000A"/>
                        </w:rPr>
                        <w:t xml:space="preserve"> et les</w:t>
                      </w:r>
                      <w:r>
                        <w:rPr>
                          <w:rStyle w:val="Accentuationforte"/>
                          <w:rFonts w:eastAsia="Calibri" w:cs="" w:cstheme="minorBidi" w:eastAsiaTheme="minorHAnsi"/>
                          <w:b w:val="false"/>
                          <w:bCs w:val="false"/>
                          <w:color w:val="00000A"/>
                        </w:rPr>
                        <w:t xml:space="preserve"> collectivités territoriales</w:t>
                      </w:r>
                      <w:r>
                        <w:rPr>
                          <w:rFonts w:eastAsia="Calibri" w:cs="" w:cstheme="minorBidi" w:eastAsiaTheme="minorHAnsi"/>
                          <w:b w:val="false"/>
                          <w:bCs w:val="false"/>
                          <w:color w:val="00000A"/>
                        </w:rPr>
                        <w:t>.</w:t>
                      </w:r>
                    </w:p>
                    <w:p>
                      <w:pPr>
                        <w:pStyle w:val="Corpsdetexte"/>
                        <w:overflowPunct w:val="false"/>
                        <w:spacing w:lineRule="auto" w:line="240" w:before="0" w:after="0"/>
                        <w:rPr>
                          <w:b w:val="false"/>
                          <w:b w:val="false"/>
                          <w:bCs w:val="false"/>
                        </w:rPr>
                      </w:pPr>
                      <w:r>
                        <w:rPr>
                          <w:b w:val="false"/>
                          <w:bCs w:val="false"/>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Dans l’Aisne, 27 projets de bâtiments de l’État ont été retenus dans le cadre d’opérations de rénovation énergétique, pour un montant total d’opérations de 5,37 millions d’euros. Parmi ceux-ci, se trouvent notamment les cités administratives de Laon et de Soissons.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08">
                <wp:simplePos x="0" y="0"/>
                <wp:positionH relativeFrom="column">
                  <wp:posOffset>-877570</wp:posOffset>
                </wp:positionH>
                <wp:positionV relativeFrom="paragraph">
                  <wp:posOffset>7219950</wp:posOffset>
                </wp:positionV>
                <wp:extent cx="7527290" cy="139065"/>
                <wp:effectExtent l="0" t="0" r="0" b="0"/>
                <wp:wrapNone/>
                <wp:docPr id="33"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highlight w:val="yellow"/>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7"/>
            <w:bookmarkEnd w:id="6"/>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4715" cy="2425700"/>
                <wp:effectExtent l="0" t="0" r="0" b="0"/>
                <wp:wrapNone/>
                <wp:docPr id="3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8880" cy="139065"/>
                <wp:effectExtent l="0" t="0" r="0" b="0"/>
                <wp:wrapNone/>
                <wp:docPr id="3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4715" cy="2651760"/>
                <wp:effectExtent l="0" t="0" r="0" b="0"/>
                <wp:wrapNone/>
                <wp:docPr id="3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highlight w:val="yellow"/>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122</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8"/>
            <w:bookmarkEnd w:id="7"/>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4715" cy="2425700"/>
                <wp:effectExtent l="0" t="0" r="0" b="0"/>
                <wp:wrapNone/>
                <wp:docPr id="4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8880" cy="139065"/>
                <wp:effectExtent l="0" t="0" r="0" b="0"/>
                <wp:wrapNone/>
                <wp:docPr id="4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5">
                <wp:simplePos x="0" y="0"/>
                <wp:positionH relativeFrom="column">
                  <wp:posOffset>0</wp:posOffset>
                </wp:positionH>
                <wp:positionV relativeFrom="paragraph">
                  <wp:posOffset>28575</wp:posOffset>
                </wp:positionV>
                <wp:extent cx="5974715" cy="2651760"/>
                <wp:effectExtent l="0" t="0" r="0" b="0"/>
                <wp:wrapNone/>
                <wp:docPr id="4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9"/>
            <w:bookmarkEnd w:id="8"/>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3</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4715" cy="2425700"/>
                <wp:effectExtent l="0" t="0" r="0" b="0"/>
                <wp:wrapNone/>
                <wp:docPr id="4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8880" cy="139065"/>
                <wp:effectExtent l="0" t="0" r="0" b="0"/>
                <wp:wrapNone/>
                <wp:docPr id="4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4715" cy="2651760"/>
                <wp:effectExtent l="0" t="0" r="0" b="0"/>
                <wp:wrapNone/>
                <wp:docPr id="4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Les projets déjà lauréats dans l’Aisne sont les suivants : </w:t>
                            </w:r>
                          </w:p>
                          <w:p>
                            <w:pPr>
                              <w:pStyle w:val="Contenudecadre"/>
                              <w:numPr>
                                <w:ilvl w:val="0"/>
                                <w:numId w:val="2"/>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Camille Fournier (Tergnier), spécialisée dans la maroquinerie de luxe</w:t>
                            </w:r>
                          </w:p>
                          <w:p>
                            <w:pPr>
                              <w:pStyle w:val="Contenudecadre"/>
                              <w:numPr>
                                <w:ilvl w:val="0"/>
                                <w:numId w:val="2"/>
                              </w:numPr>
                              <w:overflowPunct w:val="false"/>
                              <w:spacing w:lineRule="auto" w:line="240" w:before="0" w:after="0"/>
                              <w:rPr>
                                <w:b w:val="false"/>
                                <w:b w:val="false"/>
                                <w:bCs w:val="false"/>
                              </w:rPr>
                            </w:pPr>
                            <w:r>
                              <w:rPr>
                                <w:rFonts w:eastAsia="Calibri" w:cs="" w:cstheme="minorBidi" w:eastAsiaTheme="minorHAnsi"/>
                                <w:b w:val="false"/>
                                <w:bCs w:val="false"/>
                                <w:color w:val="00000A"/>
                              </w:rPr>
                              <w:t xml:space="preserve">Biscuiterie Dutoit (Bohain-en-Vermandois), </w:t>
                            </w:r>
                            <w:r>
                              <w:rPr>
                                <w:b w:val="false"/>
                                <w:bCs w:val="false"/>
                              </w:rPr>
                              <w:t xml:space="preserve">spécialisée dans les pâtes prêtes à garnir </w:t>
                            </w:r>
                          </w:p>
                          <w:p>
                            <w:pPr>
                              <w:pStyle w:val="Contenudecadre"/>
                              <w:numPr>
                                <w:ilvl w:val="0"/>
                                <w:numId w:val="2"/>
                              </w:numPr>
                              <w:overflowPunct w:val="false"/>
                              <w:spacing w:lineRule="auto" w:line="240" w:before="0" w:after="0"/>
                              <w:rPr>
                                <w:b w:val="false"/>
                                <w:b w:val="false"/>
                                <w:bCs w:val="false"/>
                              </w:rPr>
                            </w:pPr>
                            <w:r>
                              <w:rPr>
                                <w:rFonts w:eastAsia="Calibri" w:cs="" w:cstheme="minorBidi" w:eastAsiaTheme="minorHAnsi"/>
                                <w:b w:val="false"/>
                                <w:bCs w:val="false"/>
                                <w:color w:val="00000A"/>
                              </w:rPr>
                              <w:t>Vegetal Techno (Braine), spécialisée dans le traitement de liquides pour les</w:t>
                            </w:r>
                            <w:r>
                              <w:rPr>
                                <w:b w:val="false"/>
                                <w:bCs w:val="false"/>
                              </w:rPr>
                              <w:t xml:space="preserve"> secteurs de la chimie, engrais, cosmétique et agroalimentaire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Les projets déjà lauréats dans l’Aisne sont les suivants : </w:t>
                      </w:r>
                    </w:p>
                    <w:p>
                      <w:pPr>
                        <w:pStyle w:val="Contenudecadre"/>
                        <w:numPr>
                          <w:ilvl w:val="0"/>
                          <w:numId w:val="2"/>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Camille Fournier (Tergnier), spécialisée dans la maroquinerie de luxe</w:t>
                      </w:r>
                    </w:p>
                    <w:p>
                      <w:pPr>
                        <w:pStyle w:val="Contenudecadre"/>
                        <w:numPr>
                          <w:ilvl w:val="0"/>
                          <w:numId w:val="2"/>
                        </w:numPr>
                        <w:overflowPunct w:val="false"/>
                        <w:spacing w:lineRule="auto" w:line="240" w:before="0" w:after="0"/>
                        <w:rPr>
                          <w:b w:val="false"/>
                          <w:b w:val="false"/>
                          <w:bCs w:val="false"/>
                        </w:rPr>
                      </w:pPr>
                      <w:r>
                        <w:rPr>
                          <w:rFonts w:eastAsia="Calibri" w:cs="" w:cstheme="minorBidi" w:eastAsiaTheme="minorHAnsi"/>
                          <w:b w:val="false"/>
                          <w:bCs w:val="false"/>
                          <w:color w:val="00000A"/>
                        </w:rPr>
                        <w:t xml:space="preserve">Biscuiterie Dutoit (Bohain-en-Vermandois), </w:t>
                      </w:r>
                      <w:r>
                        <w:rPr>
                          <w:b w:val="false"/>
                          <w:bCs w:val="false"/>
                        </w:rPr>
                        <w:t xml:space="preserve">spécialisée dans les pâtes prêtes à garnir </w:t>
                      </w:r>
                    </w:p>
                    <w:p>
                      <w:pPr>
                        <w:pStyle w:val="Contenudecadre"/>
                        <w:numPr>
                          <w:ilvl w:val="0"/>
                          <w:numId w:val="2"/>
                        </w:numPr>
                        <w:overflowPunct w:val="false"/>
                        <w:spacing w:lineRule="auto" w:line="240" w:before="0" w:after="0"/>
                        <w:rPr>
                          <w:b w:val="false"/>
                          <w:b w:val="false"/>
                          <w:bCs w:val="false"/>
                        </w:rPr>
                      </w:pPr>
                      <w:r>
                        <w:rPr>
                          <w:rFonts w:eastAsia="Calibri" w:cs="" w:cstheme="minorBidi" w:eastAsiaTheme="minorHAnsi"/>
                          <w:b w:val="false"/>
                          <w:bCs w:val="false"/>
                          <w:color w:val="00000A"/>
                        </w:rPr>
                        <w:t>Vegetal Techno (Braine), spécialisée dans le traitement de liquides pour les</w:t>
                      </w:r>
                      <w:r>
                        <w:rPr>
                          <w:b w:val="false"/>
                          <w:bCs w:val="false"/>
                        </w:rPr>
                        <w:t xml:space="preserve"> secteurs de la chimie, engrais, cosmétique et agroalimentaire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Secteurs stratégiques pour la résilience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10"/>
            <w:bookmarkEnd w:id="9"/>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1</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1</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4715" cy="2425700"/>
                <wp:effectExtent l="0" t="0" r="0" b="0"/>
                <wp:wrapNone/>
                <wp:docPr id="5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8880" cy="139065"/>
                <wp:effectExtent l="0" t="0" r="0" b="0"/>
                <wp:wrapNone/>
                <wp:docPr id="5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4715" cy="2651760"/>
                <wp:effectExtent l="0" t="0" r="0" b="0"/>
                <wp:wrapNone/>
                <wp:docPr id="5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bidi w:val="0"/>
                              <w:spacing w:lineRule="auto" w:line="240" w:before="0" w:after="0"/>
                              <w:jc w:val="left"/>
                              <w:rPr>
                                <w:b w:val="false"/>
                                <w:b w:val="false"/>
                                <w:bCs w:val="false"/>
                              </w:rPr>
                            </w:pPr>
                            <w:r>
                              <w:rPr>
                                <w:rFonts w:eastAsia="Calibri" w:cs="" w:cstheme="minorBidi" w:eastAsiaTheme="minorHAnsi"/>
                                <w:b w:val="false"/>
                                <w:bCs w:val="false"/>
                                <w:color w:val="00000A"/>
                                <w:sz w:val="20"/>
                                <w:szCs w:val="20"/>
                              </w:rPr>
                              <w:t>Dans l’Aisne, l’entreprise Fruits rouges &amp; co à Laon a été retenue pour un projet d’augmentation de ses capacités de production et de création d’un outil industriel adapté et performant.</w:t>
                            </w:r>
                          </w:p>
                          <w:p>
                            <w:pPr>
                              <w:pStyle w:val="Contenudecadre"/>
                              <w:overflowPunct w:val="false"/>
                              <w:spacing w:lineRule="auto" w:line="240" w:before="0" w:after="0"/>
                              <w:rPr/>
                            </w:pPr>
                            <w:r>
                              <w:rPr/>
                            </w:r>
                          </w:p>
                          <w:p>
                            <w:pPr>
                              <w:pStyle w:val="Contenudecadre"/>
                              <w:overflowPunct w:val="false"/>
                              <w:spacing w:lineRule="auto" w:line="240" w:before="0" w:after="0"/>
                              <w:rPr/>
                            </w:pPr>
                            <w:r>
                              <w:rPr/>
                              <w:t>D’autres dossiers sont en cours d’instruction.</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bidi w:val="0"/>
                        <w:spacing w:lineRule="auto" w:line="240" w:before="0" w:after="0"/>
                        <w:jc w:val="left"/>
                        <w:rPr>
                          <w:b w:val="false"/>
                          <w:b w:val="false"/>
                          <w:bCs w:val="false"/>
                        </w:rPr>
                      </w:pPr>
                      <w:r>
                        <w:rPr>
                          <w:rFonts w:eastAsia="Calibri" w:cs="" w:cstheme="minorBidi" w:eastAsiaTheme="minorHAnsi"/>
                          <w:b w:val="false"/>
                          <w:bCs w:val="false"/>
                          <w:color w:val="00000A"/>
                          <w:sz w:val="20"/>
                          <w:szCs w:val="20"/>
                        </w:rPr>
                        <w:t>Dans l’Aisne, l’entreprise Fruits rouges &amp; co à Laon a été retenue pour un projet d’augmentation de ses capacités de production et de création d’un outil industriel adapté et performant.</w:t>
                      </w:r>
                    </w:p>
                    <w:p>
                      <w:pPr>
                        <w:pStyle w:val="Contenudecadre"/>
                        <w:overflowPunct w:val="false"/>
                        <w:spacing w:lineRule="auto" w:line="240" w:before="0" w:after="0"/>
                        <w:rPr/>
                      </w:pPr>
                      <w:r>
                        <w:rPr/>
                      </w:r>
                    </w:p>
                    <w:p>
                      <w:pPr>
                        <w:pStyle w:val="Contenudecadre"/>
                        <w:overflowPunct w:val="false"/>
                        <w:spacing w:lineRule="auto" w:line="240" w:before="0" w:after="0"/>
                        <w:rPr/>
                      </w:pPr>
                      <w:r>
                        <w:rPr/>
                        <w:t>D’autres dossiers sont en cours d’instruction.</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highlight w:val="yellow"/>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1"/>
            <w:bookmarkEnd w:id="10"/>
            <w:r>
              <w:rPr>
                <w:b/>
                <w:bCs/>
                <w:sz w:val="20"/>
                <w:szCs w:val="20"/>
              </w:rPr>
              <w:t>: Hauts-de-France</w:t>
            </w:r>
          </w:p>
        </w:tc>
      </w:tr>
      <w:tr>
        <w:trPr>
          <w:trHeight w:val="450"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164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163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4715" cy="2425700"/>
                <wp:effectExtent l="0" t="0" r="0" b="0"/>
                <wp:wrapNone/>
                <wp:docPr id="5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8880" cy="139065"/>
                <wp:effectExtent l="0" t="0" r="0" b="0"/>
                <wp:wrapNone/>
                <wp:docPr id="5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4715" cy="2651760"/>
                <wp:effectExtent l="0" t="0" r="0" b="0"/>
                <wp:wrapNone/>
                <wp:docPr id="5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07">
                <wp:simplePos x="0" y="0"/>
                <wp:positionH relativeFrom="column">
                  <wp:posOffset>-877570</wp:posOffset>
                </wp:positionH>
                <wp:positionV relativeFrom="paragraph">
                  <wp:posOffset>7219950</wp:posOffset>
                </wp:positionV>
                <wp:extent cx="7527290" cy="139065"/>
                <wp:effectExtent l="0" t="0" r="0" b="0"/>
                <wp:wrapNone/>
                <wp:docPr id="60"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highlight w:val="yellow"/>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2109</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2"/>
            <w:bookmarkEnd w:id="11"/>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27137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23499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19593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2109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1822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1620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4715" cy="2759710"/>
                <wp:effectExtent l="0" t="0" r="0" b="0"/>
                <wp:wrapNone/>
                <wp:docPr id="62" name="Forme2"/>
                <a:graphic xmlns:a="http://schemas.openxmlformats.org/drawingml/2006/main">
                  <a:graphicData uri="http://schemas.microsoft.com/office/word/2010/wordprocessingShape">
                    <wps:wsp>
                      <wps:cNvSpPr/>
                      <wps:spPr>
                        <a:xfrm>
                          <a:off x="0" y="0"/>
                          <a:ext cx="5974200" cy="275904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217.2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8880" cy="139065"/>
                <wp:effectExtent l="0" t="0" r="0" b="0"/>
                <wp:wrapNone/>
                <wp:docPr id="63"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4715" cy="2931160"/>
                <wp:effectExtent l="0" t="0" r="0" b="0"/>
                <wp:wrapNone/>
                <wp:docPr id="65" name="Cadre1"/>
                <a:graphic xmlns:a="http://schemas.openxmlformats.org/drawingml/2006/main">
                  <a:graphicData uri="http://schemas.microsoft.com/office/word/2010/wordprocessingShape">
                    <wps:wsp>
                      <wps:cNvSpPr/>
                      <wps:spPr>
                        <a:xfrm>
                          <a:off x="0" y="0"/>
                          <a:ext cx="5974200" cy="29304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30.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1230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3"/>
            <w:bookmarkEnd w:id="12"/>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20993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15103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5868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1230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812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308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4715" cy="2425700"/>
                <wp:effectExtent l="0" t="0" r="0" b="0"/>
                <wp:wrapNone/>
                <wp:docPr id="67"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8880" cy="139065"/>
                <wp:effectExtent l="0" t="0" r="0" b="0"/>
                <wp:wrapNone/>
                <wp:docPr id="6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4715" cy="2651760"/>
                <wp:effectExtent l="0" t="0" r="0" b="0"/>
                <wp:wrapNone/>
                <wp:docPr id="70"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Normal"/>
                              <w:overflowPunct w:val="false"/>
                              <w:spacing w:lineRule="auto" w:line="240" w:before="0" w:after="0"/>
                              <w:rPr/>
                            </w:pPr>
                            <w:r>
                              <w:rPr>
                                <w:rFonts w:eastAsia="Calibri" w:cs="" w:cstheme="minorBidi" w:eastAsiaTheme="minorHAnsi"/>
                                <w:b/>
                                <w:bCs/>
                                <w:color w:val="00000A"/>
                              </w:rPr>
                              <w:t>Toutes les entreprises et toutes les associations, sans limite de taille, peuvent bénéficier de l’aide.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bookmarkStart w:id="13" w:name="Quel-est-le-montant-de-l-aide"/>
                            <w:bookmarkEnd w:id="13"/>
                            <w:r>
                              <w:rPr>
                                <w:rFonts w:eastAsia="Calibri" w:cs="" w:cstheme="minorBidi" w:eastAsiaTheme="minorHAnsi"/>
                                <w:b/>
                                <w:bCs/>
                                <w:color w:val="00000A"/>
                              </w:rPr>
                              <w:t xml:space="preserve">L’aide est de </w:t>
                            </w:r>
                            <w:r>
                              <w:rPr>
                                <w:rStyle w:val="Accentuationforte"/>
                                <w:rFonts w:eastAsia="Calibri" w:cs="" w:cstheme="minorBidi" w:eastAsiaTheme="minorHAnsi"/>
                                <w:color w:val="00000A"/>
                              </w:rPr>
                              <w:t>4 000 euros sur un an pour un salarié à temps plein</w:t>
                            </w:r>
                            <w:r>
                              <w:rPr>
                                <w:rFonts w:eastAsia="Calibri" w:cs="" w:cstheme="minorBidi" w:eastAsiaTheme="minorHAnsi"/>
                                <w:b/>
                                <w:bCs/>
                                <w:color w:val="00000A"/>
                              </w:rPr>
                              <w:t xml:space="preserve">. Ce montant est proratisé en fonction du temps de travail et de la durée du contrat de travail. </w:t>
                            </w:r>
                            <w:r>
                              <w:rPr/>
                              <w:t>Pour ouvrir le bénéfice de l’aide, le salarié doit être maintenu au moins trois mois dans l’effectif de l’entreprise à compter de son embauche.</w:t>
                            </w:r>
                          </w:p>
                          <w:p>
                            <w:pPr>
                              <w:pStyle w:val="Corpsdetexte"/>
                              <w:overflowPunct w:val="false"/>
                              <w:spacing w:lineRule="auto" w:line="240" w:before="0" w:after="0"/>
                              <w:rPr/>
                            </w:pPr>
                            <w:r>
                              <w:rPr/>
                            </w:r>
                          </w:p>
                          <w:p>
                            <w:pPr>
                              <w:pStyle w:val="Contenudecadre"/>
                              <w:overflowPunct w:val="false"/>
                              <w:spacing w:lineRule="auto" w:line="240" w:before="0" w:after="0"/>
                              <w:rPr/>
                            </w:pPr>
                            <w:r>
                              <w:rPr>
                                <w:rFonts w:eastAsia="Calibri" w:cs="" w:cstheme="minorBidi" w:eastAsiaTheme="minorHAnsi"/>
                                <w:b/>
                                <w:bCs/>
                                <w:color w:val="00000A"/>
                              </w:rPr>
                              <w:t>Les conditions à remplir sont les suivantes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numPr>
                                <w:ilvl w:val="0"/>
                                <w:numId w:val="4"/>
                              </w:numPr>
                              <w:overflowPunct w:val="false"/>
                              <w:spacing w:lineRule="auto" w:line="240" w:before="0" w:after="0"/>
                              <w:rPr/>
                            </w:pPr>
                            <w:r>
                              <w:rPr>
                                <w:rFonts w:eastAsia="Calibri" w:cs="" w:cstheme="minorBidi" w:eastAsiaTheme="minorHAnsi"/>
                                <w:b/>
                                <w:bCs/>
                                <w:color w:val="00000A"/>
                              </w:rPr>
                              <w:t>Embaucher entre le 1</w:t>
                            </w:r>
                            <w:r>
                              <w:rPr>
                                <w:rFonts w:eastAsia="Calibri" w:cs="" w:cstheme="minorBidi" w:eastAsiaTheme="minorHAnsi"/>
                                <w:b/>
                                <w:bCs/>
                                <w:color w:val="00000A"/>
                                <w:position w:val="7"/>
                                <w:sz w:val="18"/>
                              </w:rPr>
                              <w:t>er</w:t>
                            </w:r>
                            <w:r>
                              <w:rPr>
                                <w:rFonts w:eastAsia="Calibri" w:cs="" w:cstheme="minorBidi" w:eastAsiaTheme="minorHAnsi"/>
                                <w:b/>
                                <w:bCs/>
                                <w:color w:val="00000A"/>
                              </w:rPr>
                              <w:t xml:space="preserve"> août 2020 et le 31 mai 2021, dans la limite de 1,6 SMIC, un jeune de moins de 26 ans. </w:t>
                            </w:r>
                          </w:p>
                          <w:p>
                            <w:pPr>
                              <w:pStyle w:val="Contenudecadre"/>
                              <w:numPr>
                                <w:ilvl w:val="0"/>
                                <w:numId w:val="4"/>
                              </w:numPr>
                              <w:overflowPunct w:val="false"/>
                              <w:spacing w:lineRule="auto" w:line="240" w:before="0" w:after="0"/>
                              <w:rPr/>
                            </w:pPr>
                            <w:r>
                              <w:rPr>
                                <w:rFonts w:eastAsia="Calibri" w:cs="" w:cstheme="minorBidi" w:eastAsiaTheme="minorHAnsi"/>
                                <w:b/>
                                <w:bCs/>
                                <w:color w:val="00000A"/>
                              </w:rPr>
                              <w:t xml:space="preserve">Embaucher cette personne en CDI, en CDI intérimaire ou en CDD pour une période d’au moins 3 mois. </w:t>
                            </w:r>
                          </w:p>
                          <w:p>
                            <w:pPr>
                              <w:pStyle w:val="Contenudecadre"/>
                              <w:numPr>
                                <w:ilvl w:val="0"/>
                                <w:numId w:val="4"/>
                              </w:numPr>
                              <w:overflowPunct w:val="false"/>
                              <w:spacing w:lineRule="auto" w:line="240" w:before="0" w:after="0"/>
                              <w:rPr/>
                            </w:pPr>
                            <w:r>
                              <w:rPr>
                                <w:rFonts w:eastAsia="Calibri" w:cs="" w:cstheme="minorBidi" w:eastAsiaTheme="minorHAnsi"/>
                                <w:b/>
                                <w:bCs/>
                                <w:color w:val="00000A"/>
                                <w:sz w:val="20"/>
                                <w:szCs w:val="20"/>
                              </w:rPr>
                              <w:t>L’employeur ne doit pas avoir procédé à un licenciement économique sur le poste concerné depuis le 1</w:t>
                            </w:r>
                            <w:r>
                              <w:rPr>
                                <w:rFonts w:eastAsia="Calibri" w:cs="" w:cstheme="minorBidi" w:eastAsiaTheme="minorHAnsi"/>
                                <w:b/>
                                <w:bCs/>
                                <w:color w:val="00000A"/>
                                <w:position w:val="7"/>
                                <w:sz w:val="20"/>
                                <w:szCs w:val="20"/>
                              </w:rPr>
                              <w:t>er</w:t>
                            </w:r>
                            <w:r>
                              <w:rPr>
                                <w:rFonts w:eastAsia="Calibri" w:cs="" w:cstheme="minorBidi" w:eastAsiaTheme="minorHAnsi"/>
                                <w:b/>
                                <w:bCs/>
                                <w:color w:val="00000A"/>
                                <w:sz w:val="20"/>
                                <w:szCs w:val="20"/>
                              </w:rPr>
                              <w:t xml:space="preserve"> janvier 2020.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Normal"/>
                        <w:overflowPunct w:val="false"/>
                        <w:spacing w:lineRule="auto" w:line="240" w:before="0" w:after="0"/>
                        <w:rPr/>
                      </w:pPr>
                      <w:r>
                        <w:rPr>
                          <w:rFonts w:eastAsia="Calibri" w:cs="" w:cstheme="minorBidi" w:eastAsiaTheme="minorHAnsi"/>
                          <w:b/>
                          <w:bCs/>
                          <w:color w:val="00000A"/>
                        </w:rPr>
                        <w:t>Toutes les entreprises et toutes les associations, sans limite de taille, peuvent bénéficier de l’aide.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bookmarkStart w:id="14" w:name="Quel-est-le-montant-de-l-aide"/>
                      <w:bookmarkEnd w:id="14"/>
                      <w:r>
                        <w:rPr>
                          <w:rFonts w:eastAsia="Calibri" w:cs="" w:cstheme="minorBidi" w:eastAsiaTheme="minorHAnsi"/>
                          <w:b/>
                          <w:bCs/>
                          <w:color w:val="00000A"/>
                        </w:rPr>
                        <w:t xml:space="preserve">L’aide est de </w:t>
                      </w:r>
                      <w:r>
                        <w:rPr>
                          <w:rStyle w:val="Accentuationforte"/>
                          <w:rFonts w:eastAsia="Calibri" w:cs="" w:cstheme="minorBidi" w:eastAsiaTheme="minorHAnsi"/>
                          <w:color w:val="00000A"/>
                        </w:rPr>
                        <w:t>4 000 euros sur un an pour un salarié à temps plein</w:t>
                      </w:r>
                      <w:r>
                        <w:rPr>
                          <w:rFonts w:eastAsia="Calibri" w:cs="" w:cstheme="minorBidi" w:eastAsiaTheme="minorHAnsi"/>
                          <w:b/>
                          <w:bCs/>
                          <w:color w:val="00000A"/>
                        </w:rPr>
                        <w:t xml:space="preserve">. Ce montant est proratisé en fonction du temps de travail et de la durée du contrat de travail. </w:t>
                      </w:r>
                      <w:r>
                        <w:rPr/>
                        <w:t>Pour ouvrir le bénéfice de l’aide, le salarié doit être maintenu au moins trois mois dans l’effectif de l’entreprise à compter de son embauche.</w:t>
                      </w:r>
                    </w:p>
                    <w:p>
                      <w:pPr>
                        <w:pStyle w:val="Corpsdetexte"/>
                        <w:overflowPunct w:val="false"/>
                        <w:spacing w:lineRule="auto" w:line="240" w:before="0" w:after="0"/>
                        <w:rPr/>
                      </w:pPr>
                      <w:r>
                        <w:rPr/>
                      </w:r>
                    </w:p>
                    <w:p>
                      <w:pPr>
                        <w:pStyle w:val="Contenudecadre"/>
                        <w:overflowPunct w:val="false"/>
                        <w:spacing w:lineRule="auto" w:line="240" w:before="0" w:after="0"/>
                        <w:rPr/>
                      </w:pPr>
                      <w:r>
                        <w:rPr>
                          <w:rFonts w:eastAsia="Calibri" w:cs="" w:cstheme="minorBidi" w:eastAsiaTheme="minorHAnsi"/>
                          <w:b/>
                          <w:bCs/>
                          <w:color w:val="00000A"/>
                        </w:rPr>
                        <w:t>Les conditions à remplir sont les suivantes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numPr>
                          <w:ilvl w:val="0"/>
                          <w:numId w:val="4"/>
                        </w:numPr>
                        <w:overflowPunct w:val="false"/>
                        <w:spacing w:lineRule="auto" w:line="240" w:before="0" w:after="0"/>
                        <w:rPr/>
                      </w:pPr>
                      <w:r>
                        <w:rPr>
                          <w:rFonts w:eastAsia="Calibri" w:cs="" w:cstheme="minorBidi" w:eastAsiaTheme="minorHAnsi"/>
                          <w:b/>
                          <w:bCs/>
                          <w:color w:val="00000A"/>
                        </w:rPr>
                        <w:t>Embaucher entre le 1</w:t>
                      </w:r>
                      <w:r>
                        <w:rPr>
                          <w:rFonts w:eastAsia="Calibri" w:cs="" w:cstheme="minorBidi" w:eastAsiaTheme="minorHAnsi"/>
                          <w:b/>
                          <w:bCs/>
                          <w:color w:val="00000A"/>
                          <w:position w:val="7"/>
                          <w:sz w:val="18"/>
                        </w:rPr>
                        <w:t>er</w:t>
                      </w:r>
                      <w:r>
                        <w:rPr>
                          <w:rFonts w:eastAsia="Calibri" w:cs="" w:cstheme="minorBidi" w:eastAsiaTheme="minorHAnsi"/>
                          <w:b/>
                          <w:bCs/>
                          <w:color w:val="00000A"/>
                        </w:rPr>
                        <w:t xml:space="preserve"> août 2020 et le 31 mai 2021, dans la limite de 1,6 SMIC, un jeune de moins de 26 ans. </w:t>
                      </w:r>
                    </w:p>
                    <w:p>
                      <w:pPr>
                        <w:pStyle w:val="Contenudecadre"/>
                        <w:numPr>
                          <w:ilvl w:val="0"/>
                          <w:numId w:val="4"/>
                        </w:numPr>
                        <w:overflowPunct w:val="false"/>
                        <w:spacing w:lineRule="auto" w:line="240" w:before="0" w:after="0"/>
                        <w:rPr/>
                      </w:pPr>
                      <w:r>
                        <w:rPr>
                          <w:rFonts w:eastAsia="Calibri" w:cs="" w:cstheme="minorBidi" w:eastAsiaTheme="minorHAnsi"/>
                          <w:b/>
                          <w:bCs/>
                          <w:color w:val="00000A"/>
                        </w:rPr>
                        <w:t xml:space="preserve">Embaucher cette personne en CDI, en CDI intérimaire ou en CDD pour une période d’au moins 3 mois. </w:t>
                      </w:r>
                    </w:p>
                    <w:p>
                      <w:pPr>
                        <w:pStyle w:val="Contenudecadre"/>
                        <w:numPr>
                          <w:ilvl w:val="0"/>
                          <w:numId w:val="4"/>
                        </w:numPr>
                        <w:overflowPunct w:val="false"/>
                        <w:spacing w:lineRule="auto" w:line="240" w:before="0" w:after="0"/>
                        <w:rPr/>
                      </w:pPr>
                      <w:r>
                        <w:rPr>
                          <w:rFonts w:eastAsia="Calibri" w:cs="" w:cstheme="minorBidi" w:eastAsiaTheme="minorHAnsi"/>
                          <w:b/>
                          <w:bCs/>
                          <w:color w:val="00000A"/>
                          <w:sz w:val="20"/>
                          <w:szCs w:val="20"/>
                        </w:rPr>
                        <w:t>L’employeur ne doit pas avoir procédé à un licenciement économique sur le poste concerné depuis le 1</w:t>
                      </w:r>
                      <w:r>
                        <w:rPr>
                          <w:rFonts w:eastAsia="Calibri" w:cs="" w:cstheme="minorBidi" w:eastAsiaTheme="minorHAnsi"/>
                          <w:b/>
                          <w:bCs/>
                          <w:color w:val="00000A"/>
                          <w:position w:val="7"/>
                          <w:sz w:val="20"/>
                          <w:szCs w:val="20"/>
                        </w:rPr>
                        <w:t>er</w:t>
                      </w:r>
                      <w:r>
                        <w:rPr>
                          <w:rFonts w:eastAsia="Calibri" w:cs="" w:cstheme="minorBidi" w:eastAsiaTheme="minorHAnsi"/>
                          <w:b/>
                          <w:bCs/>
                          <w:color w:val="00000A"/>
                          <w:sz w:val="20"/>
                          <w:szCs w:val="20"/>
                        </w:rPr>
                        <w:t xml:space="preserve"> janvier 2020.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highlight w:val="yellow"/>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41</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4"/>
            <w:bookmarkEnd w:id="15"/>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4715" cy="2425700"/>
                <wp:effectExtent l="0" t="0" r="0" b="0"/>
                <wp:wrapNone/>
                <wp:docPr id="72"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8880" cy="139065"/>
                <wp:effectExtent l="0" t="0" r="0" b="0"/>
                <wp:wrapNone/>
                <wp:docPr id="73"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4715" cy="2651760"/>
                <wp:effectExtent l="0" t="0" r="0" b="0"/>
                <wp:wrapNone/>
                <wp:docPr id="75"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114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5"/>
            <w:bookmarkEnd w:id="16"/>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52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4715" cy="2425700"/>
                <wp:effectExtent l="0" t="0" r="0" b="0"/>
                <wp:wrapNone/>
                <wp:docPr id="77"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8880" cy="139065"/>
                <wp:effectExtent l="0" t="0" r="0" b="0"/>
                <wp:wrapNone/>
                <wp:docPr id="7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4715" cy="2651760"/>
                <wp:effectExtent l="0" t="0" r="0" b="0"/>
                <wp:wrapNone/>
                <wp:docPr id="80"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rFonts w:eastAsia="Calibri" w:cs="" w:cstheme="minorBidi" w:eastAsiaTheme="minorHAnsi"/>
                                <w:b w:val="false"/>
                                <w:bCs w:val="false"/>
                                <w:color w:val="00000A"/>
                              </w:rPr>
                              <w:t>Dans le cadre du plan #1jeune1solution, ce dispositif s’adresse aux jeunes éloignés du marché de l’emploi, âgés de moins de 26 ans, et aux jeunes reconnus travailleurs handicapés, jusqu’à 30 ans inclus âgés. Il vise à favoriser l’insertion professionnelle en proposant un parcours associant mise en situation professionnelle et accès facilité à la formation et à l’acquisition des compétences.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Entre les mois de janvier et de mars 2021, 803 jeunes sont entrés dans le dispositif dans les Hauts-de-France, dont 76 dans l’Aisne.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Les acteurs du service public de l’emploi sont pleinement mobilisés pour faire connaître le dispositif auprès des demandeurs d’emplois et des entreprises ; à travers l’organisation de salons virtuels, du démarchage et des actions de communication en ligne.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pPr>
                      <w:r>
                        <w:rPr>
                          <w:rFonts w:eastAsia="Calibri" w:cs="" w:cstheme="minorBidi" w:eastAsiaTheme="minorHAnsi"/>
                          <w:b w:val="false"/>
                          <w:bCs w:val="false"/>
                          <w:color w:val="00000A"/>
                        </w:rPr>
                        <w:t>Dans le cadre du plan #1jeune1solution, ce dispositif s’adresse aux jeunes éloignés du marché de l’emploi, âgés de moins de 26 ans, et aux jeunes reconnus travailleurs handicapés, jusqu’à 30 ans inclus âgés. Il vise à favoriser l’insertion professionnelle en proposant un parcours associant mise en situation professionnelle et accès facilité à la formation et à l’acquisition des compétences.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Entre les mois de janvier et de mars 2021, 803 jeunes sont entrés dans le dispositif dans les Hauts-de-France, dont 76 dans l’Aisne.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Les acteurs du service public de l’emploi sont pleinement mobilisés pour faire connaître le dispositif auprès des demandeurs d’emplois et des entreprises ; à travers l’organisation de salons virtuels, du démarchage et des actions de communication en ligne.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210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6"/>
            <w:bookmarkEnd w:id="17"/>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4583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3387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131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79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4715" cy="2425700"/>
                <wp:effectExtent l="0" t="0" r="0" b="0"/>
                <wp:wrapNone/>
                <wp:docPr id="82"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8880" cy="139065"/>
                <wp:effectExtent l="0" t="0" r="0" b="0"/>
                <wp:wrapNone/>
                <wp:docPr id="83"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4715" cy="2651760"/>
                <wp:effectExtent l="0" t="0" r="0" b="0"/>
                <wp:wrapNone/>
                <wp:docPr id="85"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L’aide financière est de : </w:t>
                            </w:r>
                          </w:p>
                          <w:p>
                            <w:pPr>
                              <w:pStyle w:val="Contenudecadre"/>
                              <w:numPr>
                                <w:ilvl w:val="0"/>
                                <w:numId w:val="6"/>
                              </w:numPr>
                              <w:overflowPunct w:val="false"/>
                              <w:spacing w:lineRule="auto" w:line="240" w:before="0" w:after="0"/>
                              <w:rPr/>
                            </w:pPr>
                            <w:r>
                              <w:rPr>
                                <w:rStyle w:val="Accentuationforte"/>
                                <w:rFonts w:eastAsia="Calibri" w:cs="" w:cstheme="minorBidi" w:eastAsiaTheme="minorHAnsi"/>
                                <w:color w:val="00000A"/>
                              </w:rPr>
                              <w:t>5 000 euros</w:t>
                            </w:r>
                            <w:r>
                              <w:rPr>
                                <w:rFonts w:eastAsia="Calibri" w:cs="" w:cstheme="minorBidi" w:eastAsiaTheme="minorHAnsi"/>
                                <w:b/>
                                <w:bCs/>
                                <w:color w:val="00000A"/>
                              </w:rPr>
                              <w:t xml:space="preserve"> pour un alternant de moins de 18 ans </w:t>
                            </w:r>
                          </w:p>
                          <w:p>
                            <w:pPr>
                              <w:pStyle w:val="Contenudecadre"/>
                              <w:numPr>
                                <w:ilvl w:val="0"/>
                                <w:numId w:val="6"/>
                              </w:numPr>
                              <w:overflowPunct w:val="false"/>
                              <w:spacing w:lineRule="auto" w:line="240" w:before="0" w:after="0"/>
                              <w:rPr/>
                            </w:pPr>
                            <w:r>
                              <w:rPr>
                                <w:rStyle w:val="Accentuationforte"/>
                                <w:rFonts w:eastAsia="Calibri" w:cs="" w:cstheme="minorBidi" w:eastAsiaTheme="minorHAnsi"/>
                                <w:color w:val="00000A"/>
                              </w:rPr>
                              <w:t xml:space="preserve">8 000 euros </w:t>
                            </w:r>
                            <w:r>
                              <w:rPr>
                                <w:rFonts w:eastAsia="Calibri" w:cs="" w:cstheme="minorBidi" w:eastAsiaTheme="minorHAnsi"/>
                                <w:b/>
                                <w:bCs/>
                                <w:color w:val="00000A"/>
                              </w:rPr>
                              <w:t>pour un alternant majeur (jusqu’à 29 ans révolus)</w:t>
                              <w:br/>
                              <w:br/>
                              <w:t xml:space="preserve">pour </w:t>
                            </w:r>
                            <w:r>
                              <w:rPr>
                                <w:rStyle w:val="Accentuationforte"/>
                                <w:rFonts w:eastAsia="Calibri" w:cs="" w:cstheme="minorBidi" w:eastAsiaTheme="minorHAnsi"/>
                                <w:color w:val="00000A"/>
                              </w:rPr>
                              <w:t>la première année d’exécution</w:t>
                            </w:r>
                            <w:r>
                              <w:rPr>
                                <w:rFonts w:eastAsia="Calibri" w:cs="" w:cstheme="minorBidi" w:eastAsiaTheme="minorHAnsi"/>
                                <w:b/>
                                <w:bCs/>
                                <w:color w:val="00000A"/>
                              </w:rPr>
                              <w:t xml:space="preserve"> de chaque contrat de professionnalisation conclu avec un jeune de moins de 30 ans </w:t>
                            </w:r>
                            <w:r>
                              <w:rPr>
                                <w:rStyle w:val="Accentuationforte"/>
                                <w:rFonts w:eastAsia="Calibri" w:cs="" w:cstheme="minorBidi" w:eastAsiaTheme="minorHAnsi"/>
                                <w:color w:val="00000A"/>
                              </w:rPr>
                              <w:t>entre le 1</w:t>
                            </w:r>
                            <w:r>
                              <w:rPr>
                                <w:rStyle w:val="Accentuationforte"/>
                                <w:rFonts w:eastAsia="Calibri" w:cs="" w:cstheme="minorBidi" w:eastAsiaTheme="minorHAnsi"/>
                                <w:color w:val="00000A"/>
                                <w:position w:val="7"/>
                                <w:sz w:val="18"/>
                              </w:rPr>
                              <w:t>er</w:t>
                            </w:r>
                            <w:r>
                              <w:rPr>
                                <w:rStyle w:val="Accentuationforte"/>
                                <w:rFonts w:eastAsia="Calibri" w:cs="" w:cstheme="minorBidi" w:eastAsiaTheme="minorHAnsi"/>
                                <w:color w:val="00000A"/>
                              </w:rPr>
                              <w:t xml:space="preserve"> juillet 2020 et le 31 décembre 2021</w:t>
                            </w:r>
                            <w:r>
                              <w:rPr>
                                <w:rFonts w:eastAsia="Calibri" w:cs="" w:cstheme="minorBidi" w:eastAsiaTheme="minorHAnsi"/>
                                <w:b/>
                                <w:bCs/>
                                <w:color w:val="00000A"/>
                              </w:rPr>
                              <w:t xml:space="preserve"> préparant : </w:t>
                            </w:r>
                          </w:p>
                          <w:p>
                            <w:pPr>
                              <w:pStyle w:val="Contenudecadre"/>
                              <w:numPr>
                                <w:ilvl w:val="0"/>
                                <w:numId w:val="0"/>
                              </w:numPr>
                              <w:overflowPunct w:val="false"/>
                              <w:spacing w:lineRule="auto" w:line="240" w:before="0" w:after="0"/>
                              <w:ind w:left="720" w:hanging="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numPr>
                                <w:ilvl w:val="0"/>
                                <w:numId w:val="5"/>
                              </w:numPr>
                              <w:tabs>
                                <w:tab w:val="left" w:pos="0" w:leader="none"/>
                              </w:tabs>
                              <w:spacing w:before="0" w:after="0"/>
                              <w:ind w:left="707" w:hanging="283"/>
                              <w:rPr/>
                            </w:pPr>
                            <w:r>
                              <w:rPr/>
                              <w:t>à un diplôme ou un titre à finalité professionnelle de niveau équivalant au plus au niveau 7 de la nomenclature nationale des certifications professionnelles (master, diplôme d’ingénieur, etc.)</w:t>
                            </w:r>
                          </w:p>
                          <w:p>
                            <w:pPr>
                              <w:pStyle w:val="Corpsdetexte"/>
                              <w:numPr>
                                <w:ilvl w:val="0"/>
                                <w:numId w:val="5"/>
                              </w:numPr>
                              <w:tabs>
                                <w:tab w:val="left" w:pos="0" w:leader="none"/>
                              </w:tabs>
                              <w:spacing w:before="0" w:after="0"/>
                              <w:ind w:left="707" w:hanging="283"/>
                              <w:rPr/>
                            </w:pPr>
                            <w:r>
                              <w:rPr/>
                              <w:t>à un certificat de qualification professionnelle (CQP)</w:t>
                            </w:r>
                          </w:p>
                          <w:p>
                            <w:pPr>
                              <w:pStyle w:val="Corpsdetexte"/>
                              <w:numPr>
                                <w:ilvl w:val="0"/>
                                <w:numId w:val="5"/>
                              </w:numPr>
                              <w:tabs>
                                <w:tab w:val="left" w:pos="0" w:leader="none"/>
                              </w:tabs>
                              <w:ind w:left="707" w:hanging="283"/>
                              <w:rPr/>
                            </w:pPr>
                            <w:r>
                              <w:rPr/>
                              <w:t>ainsi que pour les contrats expérimentaux conclus en application du VI de l’article 28 de la loi n° 2018-771 du 5 septembre 2018.</w:t>
                            </w:r>
                          </w:p>
                          <w:p>
                            <w:pPr>
                              <w:pStyle w:val="Corpsdetexte"/>
                              <w:rPr/>
                            </w:pPr>
                            <w:bookmarkStart w:id="18" w:name="A-quels-employeurs-s-adresse-l-aide-exceptionnelle"/>
                            <w:bookmarkStart w:id="19" w:name="A-quels-employeurs-s-adresse-l-aide-exceptionnelle"/>
                            <w:bookmarkEnd w:id="19"/>
                            <w: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L’aide financière est de : </w:t>
                      </w:r>
                    </w:p>
                    <w:p>
                      <w:pPr>
                        <w:pStyle w:val="Contenudecadre"/>
                        <w:numPr>
                          <w:ilvl w:val="0"/>
                          <w:numId w:val="6"/>
                        </w:numPr>
                        <w:overflowPunct w:val="false"/>
                        <w:spacing w:lineRule="auto" w:line="240" w:before="0" w:after="0"/>
                        <w:rPr/>
                      </w:pPr>
                      <w:r>
                        <w:rPr>
                          <w:rStyle w:val="Accentuationforte"/>
                          <w:rFonts w:eastAsia="Calibri" w:cs="" w:cstheme="minorBidi" w:eastAsiaTheme="minorHAnsi"/>
                          <w:color w:val="00000A"/>
                        </w:rPr>
                        <w:t>5 000 euros</w:t>
                      </w:r>
                      <w:r>
                        <w:rPr>
                          <w:rFonts w:eastAsia="Calibri" w:cs="" w:cstheme="minorBidi" w:eastAsiaTheme="minorHAnsi"/>
                          <w:b/>
                          <w:bCs/>
                          <w:color w:val="00000A"/>
                        </w:rPr>
                        <w:t xml:space="preserve"> pour un alternant de moins de 18 ans </w:t>
                      </w:r>
                    </w:p>
                    <w:p>
                      <w:pPr>
                        <w:pStyle w:val="Contenudecadre"/>
                        <w:numPr>
                          <w:ilvl w:val="0"/>
                          <w:numId w:val="6"/>
                        </w:numPr>
                        <w:overflowPunct w:val="false"/>
                        <w:spacing w:lineRule="auto" w:line="240" w:before="0" w:after="0"/>
                        <w:rPr/>
                      </w:pPr>
                      <w:r>
                        <w:rPr>
                          <w:rStyle w:val="Accentuationforte"/>
                          <w:rFonts w:eastAsia="Calibri" w:cs="" w:cstheme="minorBidi" w:eastAsiaTheme="minorHAnsi"/>
                          <w:color w:val="00000A"/>
                        </w:rPr>
                        <w:t xml:space="preserve">8 000 euros </w:t>
                      </w:r>
                      <w:r>
                        <w:rPr>
                          <w:rFonts w:eastAsia="Calibri" w:cs="" w:cstheme="minorBidi" w:eastAsiaTheme="minorHAnsi"/>
                          <w:b/>
                          <w:bCs/>
                          <w:color w:val="00000A"/>
                        </w:rPr>
                        <w:t>pour un alternant majeur (jusqu’à 29 ans révolus)</w:t>
                        <w:br/>
                        <w:br/>
                        <w:t xml:space="preserve">pour </w:t>
                      </w:r>
                      <w:r>
                        <w:rPr>
                          <w:rStyle w:val="Accentuationforte"/>
                          <w:rFonts w:eastAsia="Calibri" w:cs="" w:cstheme="minorBidi" w:eastAsiaTheme="minorHAnsi"/>
                          <w:color w:val="00000A"/>
                        </w:rPr>
                        <w:t>la première année d’exécution</w:t>
                      </w:r>
                      <w:r>
                        <w:rPr>
                          <w:rFonts w:eastAsia="Calibri" w:cs="" w:cstheme="minorBidi" w:eastAsiaTheme="minorHAnsi"/>
                          <w:b/>
                          <w:bCs/>
                          <w:color w:val="00000A"/>
                        </w:rPr>
                        <w:t xml:space="preserve"> de chaque contrat de professionnalisation conclu avec un jeune de moins de 30 ans </w:t>
                      </w:r>
                      <w:r>
                        <w:rPr>
                          <w:rStyle w:val="Accentuationforte"/>
                          <w:rFonts w:eastAsia="Calibri" w:cs="" w:cstheme="minorBidi" w:eastAsiaTheme="minorHAnsi"/>
                          <w:color w:val="00000A"/>
                        </w:rPr>
                        <w:t>entre le 1</w:t>
                      </w:r>
                      <w:r>
                        <w:rPr>
                          <w:rStyle w:val="Accentuationforte"/>
                          <w:rFonts w:eastAsia="Calibri" w:cs="" w:cstheme="minorBidi" w:eastAsiaTheme="minorHAnsi"/>
                          <w:color w:val="00000A"/>
                          <w:position w:val="7"/>
                          <w:sz w:val="18"/>
                        </w:rPr>
                        <w:t>er</w:t>
                      </w:r>
                      <w:r>
                        <w:rPr>
                          <w:rStyle w:val="Accentuationforte"/>
                          <w:rFonts w:eastAsia="Calibri" w:cs="" w:cstheme="minorBidi" w:eastAsiaTheme="minorHAnsi"/>
                          <w:color w:val="00000A"/>
                        </w:rPr>
                        <w:t xml:space="preserve"> juillet 2020 et le 31 décembre 2021</w:t>
                      </w:r>
                      <w:r>
                        <w:rPr>
                          <w:rFonts w:eastAsia="Calibri" w:cs="" w:cstheme="minorBidi" w:eastAsiaTheme="minorHAnsi"/>
                          <w:b/>
                          <w:bCs/>
                          <w:color w:val="00000A"/>
                        </w:rPr>
                        <w:t xml:space="preserve"> préparant : </w:t>
                      </w:r>
                    </w:p>
                    <w:p>
                      <w:pPr>
                        <w:pStyle w:val="Contenudecadre"/>
                        <w:numPr>
                          <w:ilvl w:val="0"/>
                          <w:numId w:val="0"/>
                        </w:numPr>
                        <w:overflowPunct w:val="false"/>
                        <w:spacing w:lineRule="auto" w:line="240" w:before="0" w:after="0"/>
                        <w:ind w:left="720" w:hanging="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numPr>
                          <w:ilvl w:val="0"/>
                          <w:numId w:val="5"/>
                        </w:numPr>
                        <w:tabs>
                          <w:tab w:val="left" w:pos="0" w:leader="none"/>
                        </w:tabs>
                        <w:spacing w:before="0" w:after="0"/>
                        <w:ind w:left="707" w:hanging="283"/>
                        <w:rPr/>
                      </w:pPr>
                      <w:r>
                        <w:rPr/>
                        <w:t>à un diplôme ou un titre à finalité professionnelle de niveau équivalant au plus au niveau 7 de la nomenclature nationale des certifications professionnelles (master, diplôme d’ingénieur, etc.)</w:t>
                      </w:r>
                    </w:p>
                    <w:p>
                      <w:pPr>
                        <w:pStyle w:val="Corpsdetexte"/>
                        <w:numPr>
                          <w:ilvl w:val="0"/>
                          <w:numId w:val="5"/>
                        </w:numPr>
                        <w:tabs>
                          <w:tab w:val="left" w:pos="0" w:leader="none"/>
                        </w:tabs>
                        <w:spacing w:before="0" w:after="0"/>
                        <w:ind w:left="707" w:hanging="283"/>
                        <w:rPr/>
                      </w:pPr>
                      <w:r>
                        <w:rPr/>
                        <w:t>à un certificat de qualification professionnelle (CQP)</w:t>
                      </w:r>
                    </w:p>
                    <w:p>
                      <w:pPr>
                        <w:pStyle w:val="Corpsdetexte"/>
                        <w:numPr>
                          <w:ilvl w:val="0"/>
                          <w:numId w:val="5"/>
                        </w:numPr>
                        <w:tabs>
                          <w:tab w:val="left" w:pos="0" w:leader="none"/>
                        </w:tabs>
                        <w:ind w:left="707" w:hanging="283"/>
                        <w:rPr/>
                      </w:pPr>
                      <w:r>
                        <w:rPr/>
                        <w:t>ainsi que pour les contrats expérimentaux conclus en application du VI de l’article 28 de la loi n° 2018-771 du 5 septembre 2018.</w:t>
                      </w:r>
                    </w:p>
                    <w:p>
                      <w:pPr>
                        <w:pStyle w:val="Corpsdetexte"/>
                        <w:rPr/>
                      </w:pPr>
                      <w:bookmarkStart w:id="20" w:name="A-quels-employeurs-s-adresse-l-aide-exceptionnelle"/>
                      <w:bookmarkStart w:id="21" w:name="A-quels-employeurs-s-adresse-l-aide-exceptionnelle"/>
                      <w:bookmarkEnd w:id="21"/>
                      <w: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2109</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2" w:name="__DdeLink__225_361440075817"/>
            <w:bookmarkEnd w:id="22"/>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19878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17659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15982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2109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1952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1780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4715" cy="2425700"/>
                <wp:effectExtent l="0" t="0" r="0" b="0"/>
                <wp:wrapNone/>
                <wp:docPr id="87"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8880" cy="139065"/>
                <wp:effectExtent l="0" t="0" r="0" b="0"/>
                <wp:wrapNone/>
                <wp:docPr id="8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6">
                <wp:simplePos x="0" y="0"/>
                <wp:positionH relativeFrom="column">
                  <wp:posOffset>0</wp:posOffset>
                </wp:positionH>
                <wp:positionV relativeFrom="paragraph">
                  <wp:posOffset>28575</wp:posOffset>
                </wp:positionV>
                <wp:extent cx="5974715" cy="2651760"/>
                <wp:effectExtent l="0" t="0" r="0" b="0"/>
                <wp:wrapNone/>
                <wp:docPr id="90"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La Garantie jeunes est un droit ouvert qui s’adresse aux jeunes de 16 ans à moins de 26 ans, en situation de précarité qui ne sont ni en emploi, ni en formation, ni en étude (NEET).</w:t>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rPr/>
                            </w:pPr>
                            <w:r>
                              <w:rPr/>
                              <w:t>Pour favoriser leur insertion dans l’emploi, ils sont accompagnés de manière intensive et collective et bénéficient de mises en situation professionnelle.</w:t>
                            </w:r>
                          </w:p>
                          <w:p>
                            <w:pPr>
                              <w:pStyle w:val="Corpsdetexte"/>
                              <w:rPr/>
                            </w:pPr>
                            <w:r>
                              <w:rPr/>
                              <w:t>Cet accompagnement est assorti d’une aide financière pour faciliter leurs démarches d’accès à l’emploi.</w:t>
                            </w:r>
                          </w:p>
                          <w:p>
                            <w:pPr>
                              <w:pStyle w:val="Corpsdetexte"/>
                              <w:overflowPunct w:val="false"/>
                              <w:spacing w:lineRule="auto" w:line="240" w:before="0" w:after="0"/>
                              <w:rPr/>
                            </w:pPr>
                            <w:r>
                              <w:rPr>
                                <w:rFonts w:eastAsia="Calibri" w:cs="" w:cstheme="minorBidi" w:eastAsiaTheme="minorHAnsi"/>
                                <w:b w:val="false"/>
                                <w:bCs w:val="false"/>
                                <w:color w:val="00000A"/>
                              </w:rPr>
                              <w:t>La Garantie jeunes est mise en œuvre par les missions locales.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La Garantie jeunes est un droit ouvert qui s’adresse aux jeunes de 16 ans à moins de 26 ans, en situation de précarité qui ne sont ni en emploi, ni en formation, ni en étude (NEET).</w:t>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rPr/>
                      </w:pPr>
                      <w:r>
                        <w:rPr/>
                        <w:t>Pour favoriser leur insertion dans l’emploi, ils sont accompagnés de manière intensive et collective et bénéficient de mises en situation professionnelle.</w:t>
                      </w:r>
                    </w:p>
                    <w:p>
                      <w:pPr>
                        <w:pStyle w:val="Corpsdetexte"/>
                        <w:rPr/>
                      </w:pPr>
                      <w:r>
                        <w:rPr/>
                        <w:t>Cet accompagnement est assorti d’une aide financière pour faciliter leurs démarches d’accès à l’emploi.</w:t>
                      </w:r>
                    </w:p>
                    <w:p>
                      <w:pPr>
                        <w:pStyle w:val="Corpsdetexte"/>
                        <w:overflowPunct w:val="false"/>
                        <w:spacing w:lineRule="auto" w:line="240" w:before="0" w:after="0"/>
                        <w:rPr/>
                      </w:pPr>
                      <w:r>
                        <w:rPr>
                          <w:rFonts w:eastAsia="Calibri" w:cs="" w:cstheme="minorBidi" w:eastAsiaTheme="minorHAnsi"/>
                          <w:b w:val="false"/>
                          <w:bCs w:val="false"/>
                          <w:color w:val="00000A"/>
                        </w:rPr>
                        <w:t>La Garantie jeunes est mise en œuvre par les missions locales.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285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3" w:name="__DdeLink__225_361440075818"/>
            <w:bookmarkEnd w:id="23"/>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3366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2881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2471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204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4715" cy="2425700"/>
                <wp:effectExtent l="0" t="0" r="0" b="0"/>
                <wp:wrapNone/>
                <wp:docPr id="92"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-902970</wp:posOffset>
                </wp:positionH>
                <wp:positionV relativeFrom="paragraph">
                  <wp:posOffset>2577465</wp:posOffset>
                </wp:positionV>
                <wp:extent cx="7548880" cy="139065"/>
                <wp:effectExtent l="0" t="0" r="0" b="0"/>
                <wp:wrapNone/>
                <wp:docPr id="93"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5">
                <wp:simplePos x="0" y="0"/>
                <wp:positionH relativeFrom="column">
                  <wp:posOffset>0</wp:posOffset>
                </wp:positionH>
                <wp:positionV relativeFrom="paragraph">
                  <wp:posOffset>28575</wp:posOffset>
                </wp:positionV>
                <wp:extent cx="5974715" cy="2651760"/>
                <wp:effectExtent l="0" t="0" r="0" b="0"/>
                <wp:wrapNone/>
                <wp:docPr id="95"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Dans le cadre du parcours emploi compétences, le taux de prise en charge est fixé, par arrêté du préfet de région du 15 avril 2021 :</w:t>
                            </w:r>
                          </w:p>
                          <w:p>
                            <w:pPr>
                              <w:pStyle w:val="Corpsdetexte"/>
                              <w:numPr>
                                <w:ilvl w:val="0"/>
                                <w:numId w:val="7"/>
                              </w:numPr>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pour les jeunes &lt;26 ans : 65 %, ou 80 % si résidant en QPV ou ZRR</w:t>
                            </w:r>
                          </w:p>
                          <w:p>
                            <w:pPr>
                              <w:pStyle w:val="Corpsdetexte"/>
                              <w:numPr>
                                <w:ilvl w:val="0"/>
                                <w:numId w:val="7"/>
                              </w:numPr>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pour les autres, compris entre 40 % et 80 % selon les situations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numPr>
                                <w:ilvl w:val="0"/>
                                <w:numId w:val="0"/>
                              </w:numPr>
                              <w:tabs>
                                <w:tab w:val="left" w:pos="0" w:leader="none"/>
                              </w:tabs>
                              <w:spacing w:before="0" w:after="0"/>
                              <w:ind w:left="707" w:hanging="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Les parcours emplois compétences sont prescrits dans le cadre de CUI-CAE dans le secteur non marchand.</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Dans le cadre du parcours emploi compétences, le taux de prise en charge est fixé, par arrêté du préfet de région du 15 avril 2021 :</w:t>
                      </w:r>
                    </w:p>
                    <w:p>
                      <w:pPr>
                        <w:pStyle w:val="Corpsdetexte"/>
                        <w:numPr>
                          <w:ilvl w:val="0"/>
                          <w:numId w:val="7"/>
                        </w:numPr>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pour les jeunes &lt;26 ans : 65 %, ou 80 % si résidant en QPV ou ZRR</w:t>
                      </w:r>
                    </w:p>
                    <w:p>
                      <w:pPr>
                        <w:pStyle w:val="Corpsdetexte"/>
                        <w:numPr>
                          <w:ilvl w:val="0"/>
                          <w:numId w:val="7"/>
                        </w:numPr>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pour les autres, compris entre 40 % et 80 % selon les situations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rpsdetexte"/>
                        <w:numPr>
                          <w:ilvl w:val="0"/>
                          <w:numId w:val="0"/>
                        </w:numPr>
                        <w:tabs>
                          <w:tab w:val="left" w:pos="0" w:leader="none"/>
                        </w:tabs>
                        <w:spacing w:before="0" w:after="0"/>
                        <w:ind w:left="707" w:hanging="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Les parcours emplois compétences sont prescrits dans le cadre de CUI-CAE dans le secteur non marchand.</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747</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4" w:name="__DdeLink__225_361440075819"/>
            <w:bookmarkEnd w:id="24"/>
            <w:r>
              <w:rPr>
                <w:b/>
                <w:bCs/>
                <w:sz w:val="20"/>
                <w:szCs w:val="20"/>
              </w:rPr>
              <w:t>: Hauts-de-France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8685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7751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Aisne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bidi w:val="0"/>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747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665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4715" cy="2425700"/>
                <wp:effectExtent l="0" t="0" r="0" b="0"/>
                <wp:wrapNone/>
                <wp:docPr id="97"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-902970</wp:posOffset>
                </wp:positionH>
                <wp:positionV relativeFrom="paragraph">
                  <wp:posOffset>2577465</wp:posOffset>
                </wp:positionV>
                <wp:extent cx="7548880" cy="139065"/>
                <wp:effectExtent l="0" t="0" r="0" b="0"/>
                <wp:wrapNone/>
                <wp:docPr id="9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0</wp:posOffset>
                </wp:positionH>
                <wp:positionV relativeFrom="paragraph">
                  <wp:posOffset>28575</wp:posOffset>
                </wp:positionV>
                <wp:extent cx="5974715" cy="2651760"/>
                <wp:effectExtent l="0" t="0" r="0" b="0"/>
                <wp:wrapNone/>
                <wp:docPr id="100"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pPr>
                            <w:r>
                              <w:rPr/>
                              <w:t xml:space="preserve">Au 31 mars 2021, </w:t>
                            </w:r>
                            <w:r>
                              <w:rPr>
                                <w:b/>
                              </w:rPr>
                              <w:t>136 jeunes ont démarré leur mission en 2021 : 70 sur agréments nationaux,</w:t>
                            </w:r>
                            <w:r>
                              <w:rPr/>
                              <w:t xml:space="preserve"> </w:t>
                            </w:r>
                            <w:r>
                              <w:rPr>
                                <w:b/>
                              </w:rPr>
                              <w:t>13 sur agréments régionaux</w:t>
                            </w:r>
                            <w:r>
                              <w:rPr/>
                              <w:t xml:space="preserve">, </w:t>
                            </w:r>
                            <w:r>
                              <w:rPr>
                                <w:b/>
                              </w:rPr>
                              <w:t>53 sur agréments départementaux.</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fals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609 jeunes sont actuellement en mission dans l’Aisne : 341 sur agréments nationaux, 252 sur agréments départementaux et 16 sur agréments régionaux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p>
                    <w:p>
                      <w:pPr>
                        <w:pStyle w:val="Contenudecadre"/>
                        <w:overflowPunct w:val="false"/>
                        <w:spacing w:lineRule="auto" w:line="240" w:before="0" w:after="0"/>
                        <w:rPr/>
                      </w:pPr>
                      <w:r>
                        <w:rPr/>
                        <w:t xml:space="preserve">Au 31 mars 2021, </w:t>
                      </w:r>
                      <w:r>
                        <w:rPr>
                          <w:b/>
                        </w:rPr>
                        <w:t>136 jeunes ont démarré leur mission en 2021 : 70 sur agréments nationaux,</w:t>
                      </w:r>
                      <w:r>
                        <w:rPr/>
                        <w:t xml:space="preserve"> </w:t>
                      </w:r>
                      <w:r>
                        <w:rPr>
                          <w:b/>
                        </w:rPr>
                        <w:t>13 sur agréments régionaux</w:t>
                      </w:r>
                      <w:r>
                        <w:rPr/>
                        <w:t xml:space="preserve">, </w:t>
                      </w:r>
                      <w:r>
                        <w:rPr>
                          <w:b/>
                        </w:rPr>
                        <w:t>53 sur agréments départementaux.</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fals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609 jeunes sont actuellement en mission dans l’Aisne : 341 sur agréments nationaux, 252 sur agréments départementaux et 16 sur agréments régionaux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4">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16" y="0"/>
              <wp:lineTo x="-216" y="21143"/>
              <wp:lineTo x="20987" y="21143"/>
              <wp:lineTo x="20987" y="0"/>
              <wp:lineTo x="-216" y="0"/>
            </wp:wrapPolygon>
          </wp:wrapTight>
          <wp:docPr id="10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06">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32" y="0"/>
              <wp:lineTo x="-432" y="20539"/>
              <wp:lineTo x="20914" y="20539"/>
              <wp:lineTo x="20914" y="0"/>
              <wp:lineTo x="-432" y="0"/>
            </wp:wrapPolygon>
          </wp:wrapTight>
          <wp:docPr id="10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3">
    <w:name w:val="Heading 3"/>
    <w:basedOn w:val="Titre"/>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ListLabel1">
    <w:name w:val="ListLabel 1"/>
    <w:qFormat/>
    <w:rPr>
      <w:rFonts w:ascii="Calibri" w:hAnsi="Calibri"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imealaconversion.gouv.fr/" TargetMode="External"/><Relationship Id="rId3" Type="http://schemas.openxmlformats.org/officeDocument/2006/relationships/hyperlink" Target="http://www.primealaconversion.gouv.f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24</Pages>
  <Words>2983</Words>
  <Characters>15642</Characters>
  <CharactersWithSpaces>19761</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2021-05-05T21:24:23Z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