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SUIVI TERRITORIAL</w:t>
      </w:r>
      <w:r/>
    </w:p>
    <w:p>
      <w:pPr>
        <w:pStyle w:val="695"/>
      </w:pPr>
      <w:r>
        <w:rPr>
          <w:rFonts w:ascii="Marianne" w:hAnsi="Marianne" w:cs="Arial"/>
          <w:b/>
          <w:bCs/>
          <w:sz w:val="56"/>
          <w:szCs w:val="56"/>
        </w:rPr>
        <w:t xml:space="preserve">DU PLAN FRANCE RELANCE</w:t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5"/>
        <w:rPr>
          <w:rFonts w:ascii="Marianne" w:hAnsi="Marianne"/>
        </w:rPr>
      </w:pPr>
      <w:r>
        <w:rPr>
          <w:rFonts w:ascii="Marianne" w:hAnsi="Marianne" w:cs="Arial"/>
          <w:i/>
          <w:iCs/>
          <w:sz w:val="40"/>
          <w:szCs w:val="40"/>
        </w:rPr>
        <w:t xml:space="preserve">Données pour le département : Charente</w:t>
      </w:r>
      <w:r/>
    </w:p>
    <w:p>
      <w:pPr>
        <w:pStyle w:val="695"/>
      </w:pPr>
      <w:r>
        <w:rPr>
          <w:rFonts w:ascii="Marianne" w:hAnsi="Marianne" w:cs="Arial"/>
          <w:i/>
          <w:iCs/>
          <w:sz w:val="40"/>
          <w:szCs w:val="40"/>
        </w:rPr>
        <w:t xml:space="preserve">Date : Mai 2021</w:t>
      </w:r>
      <w:r/>
    </w:p>
    <w:p>
      <w:pPr>
        <w:pStyle w:val="695"/>
        <w:rPr>
          <w:rFonts w:ascii="Marianne" w:hAnsi="Marianne" w:cs="Arial"/>
          <w:i/>
          <w:iCs/>
          <w:sz w:val="56"/>
          <w:szCs w:val="56"/>
        </w:rPr>
      </w:pPr>
      <w:r>
        <w:rPr>
          <w:rFonts w:ascii="Marianne" w:hAnsi="Marianne" w:cs="Arial"/>
          <w:i/>
          <w:iCs/>
          <w:sz w:val="56"/>
          <w:szCs w:val="56"/>
        </w:rPr>
      </w:r>
      <w:r/>
    </w:p>
    <w:p>
      <w:pPr>
        <w:pStyle w:val="738"/>
        <w:jc w:val="both"/>
      </w:pPr>
      <w:r>
        <w:rPr>
          <w:rFonts w:ascii="Marianne" w:hAnsi="Marianne"/>
          <w:sz w:val="22"/>
          <w:szCs w:val="22"/>
        </w:rPr>
        <w:t xml:space="preserve">Les portraits de la relance illustrent l’ancrage territorial du plan et les bénéfices générés localement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 xml:space="preserve">: cr</w:t>
      </w:r>
      <w:r>
        <w:rPr>
          <w:rFonts w:ascii="Marianne" w:hAnsi="Marianne" w:cs="Marianne"/>
          <w:sz w:val="22"/>
          <w:szCs w:val="22"/>
        </w:rPr>
        <w:t xml:space="preserve">é</w:t>
      </w:r>
      <w:r>
        <w:rPr>
          <w:rFonts w:ascii="Marianne" w:hAnsi="Marianne"/>
          <w:sz w:val="22"/>
          <w:szCs w:val="22"/>
        </w:rPr>
        <w:t xml:space="preserve">ations d’emploi, développement économique, amélioration de l’empreinte écologique…dans tous les départements de France.</w:t>
      </w:r>
      <w:r/>
    </w:p>
    <w:p>
      <w:pPr>
        <w:pStyle w:val="737"/>
        <w:jc w:val="both"/>
        <w:rPr>
          <w:i w:val="false"/>
          <w:iCs w:val="false"/>
          <w:sz w:val="22"/>
          <w:szCs w:val="22"/>
        </w:rPr>
      </w:pPr>
      <w:r>
        <w:rPr>
          <w:rFonts w:ascii="Marianne" w:hAnsi="Marianne" w:cs="Arial"/>
          <w:i w:val="false"/>
          <w:iCs w:val="false"/>
          <w:sz w:val="22"/>
          <w:szCs w:val="22"/>
        </w:rPr>
        <w:t xml:space="preserve"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ascii="Marianne" w:hAnsi="Marianne" w:cs="Calibri"/>
          <w:i w:val="false"/>
          <w:iCs w:val="false"/>
          <w:sz w:val="22"/>
          <w:szCs w:val="22"/>
        </w:rPr>
        <w:t xml:space="preserve"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/>
    </w:p>
    <w:p>
      <w:pPr>
        <w:pStyle w:val="740"/>
        <w:jc w:val="both"/>
      </w:pPr>
      <w:r/>
      <w:hyperlink r:id="rId12" w:tooltip="https://www.gouvernement.fr/portraits-de-la-relance" w:history="1">
        <w:r>
          <w:rPr>
            <w:rStyle w:val="709"/>
            <w:rFonts w:ascii="Marianne" w:hAnsi="Marianne" w:cs="Arial"/>
            <w:i/>
            <w:iCs/>
            <w:color w:val="00A65D"/>
            <w:sz w:val="22"/>
            <w:szCs w:val="22"/>
          </w:rPr>
          <w:t xml:space="preserve">Portraits de la relance</w:t>
        </w:r>
      </w:hyperlink>
      <w:r>
        <w:br w:type="page"/>
      </w:r>
      <w:r/>
    </w:p>
    <w:p>
      <w:pPr>
        <w:pStyle w:val="695"/>
        <w:rPr>
          <w:rFonts w:ascii="Marianne" w:hAnsi="Marianne"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  <w:r/>
    </w:p>
    <w:sdt>
      <w:sdtPr>
        <w15:appearance w15:val="boundingBox"/>
        <w:id w:val="1183462661"/>
        <w:docPartObj>
          <w:docPartGallery w:val="Table of Contents"/>
          <w:docPartUnique w:val="true"/>
        </w:docPartObj>
        <w:rPr/>
      </w:sdtPr>
      <w:sdtContent>
        <w:p>
          <w:pPr>
            <w:pStyle w:val="736"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 xml:space="preserve">Table des matières</w:t>
          </w:r>
          <w:r/>
        </w:p>
        <w:p>
          <w:pPr>
            <w:pStyle w:val="741"/>
            <w:tabs>
              <w:tab w:val="right" w:pos="9356" w:leader="dot"/>
            </w:tabs>
          </w:pPr>
          <w:r>
            <w:fldChar w:fldCharType="begin"/>
          </w:r>
          <w:r>
            <w:rPr>
              <w:rStyle w:val="722"/>
            </w:rPr>
            <w:instrText xml:space="preserve"> TOC \z \o "1-3" \u \h</w:instrText>
          </w:r>
          <w:r>
            <w:rPr>
              <w:rStyle w:val="722"/>
            </w:rPr>
            <w:fldChar w:fldCharType="separate"/>
          </w:r>
          <w:hyperlink w:tooltip="#__RefHeading___Toc2090_3805142536" w:anchor="__RefHeading___Toc2090_3805142536" w:history="1">
            <w:r>
              <w:rPr>
                <w:rStyle w:val="722"/>
              </w:rPr>
              <w:t xml:space="preserve">Volet 1 : Ecologie</w:t>
              <w:tab/>
              <w:t xml:space="preserve">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2_3805142536" w:anchor="__RefHeading___Toc2092_3805142536" w:history="1">
            <w:r>
              <w:rPr>
                <w:rStyle w:val="722"/>
              </w:rPr>
              <w:t xml:space="preserve">1 - Bonus écologique</w:t>
              <w:tab/>
              <w:t xml:space="preserve">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4_3805142536" w:anchor="__RefHeading___Toc2094_3805142536" w:history="1">
            <w:r>
              <w:rPr>
                <w:rStyle w:val="722"/>
              </w:rPr>
              <w:t xml:space="preserve">2 - MaPrimeRénov'</w:t>
              <w:tab/>
              <w:t xml:space="preserve">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6_3805142536" w:anchor="__RefHeading___Toc2096_3805142536" w:history="1">
            <w:r>
              <w:rPr>
                <w:rStyle w:val="722"/>
              </w:rPr>
              <w:t xml:space="preserve">3 - Modernisation des filières automobiles et aéronautiques</w:t>
              <w:tab/>
              <w:t xml:space="preserve">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098_3805142536" w:anchor="__RefHeading___Toc2098_3805142536" w:history="1">
            <w:r>
              <w:rPr>
                <w:rStyle w:val="722"/>
              </w:rPr>
              <w:t xml:space="preserve">4 - Prime à la conversion des agroéquipements</w:t>
              <w:tab/>
              <w:t xml:space="preserve">7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0_3805142536" w:anchor="__RefHeading___Toc2100_3805142536" w:history="1">
            <w:r>
              <w:rPr>
                <w:rStyle w:val="722"/>
              </w:rPr>
              <w:t xml:space="preserve">5 - Prime à la conversion des véhicules légers</w:t>
              <w:tab/>
              <w:t xml:space="preserve">8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2_3805142536" w:anchor="__RefHeading___Toc2102_3805142536" w:history="1">
            <w:r>
              <w:rPr>
                <w:rStyle w:val="722"/>
              </w:rPr>
              <w:t xml:space="preserve">6 - Réhabilitation Friches (urbaines et sites pollués)</w:t>
              <w:tab/>
              <w:t xml:space="preserve">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4_3805142536" w:anchor="__RefHeading___Toc2104_3805142536" w:history="1">
            <w:r>
              <w:rPr>
                <w:rStyle w:val="722"/>
              </w:rPr>
              <w:t xml:space="preserve">7 - Rénovation bâtiments Etat</w:t>
              <w:tab/>
              <w:t xml:space="preserve">10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06_3805142536" w:anchor="__RefHeading___Toc2106_3805142536" w:history="1">
            <w:r>
              <w:rPr>
                <w:rStyle w:val="722"/>
              </w:rPr>
              <w:t xml:space="preserve">Volet 2 : Compétitivité</w:t>
              <w:tab/>
              <w:t xml:space="preserve">11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08_3805142536" w:anchor="__RefHeading___Toc2108_3805142536" w:history="1">
            <w:r>
              <w:rPr>
                <w:rStyle w:val="722"/>
              </w:rPr>
              <w:t xml:space="preserve">8 - AAP Industrie : Soutien aux projets industriels territoires</w:t>
              <w:tab/>
              <w:t xml:space="preserve">12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0_3805142536" w:anchor="__RefHeading___Toc2110_3805142536" w:history="1">
            <w:r>
              <w:rPr>
                <w:rStyle w:val="722"/>
              </w:rPr>
              <w:t xml:space="preserve">9 - AAP Industrie : Sécurisation approvisionnements critiques</w:t>
              <w:tab/>
              <w:t xml:space="preserve">14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2_3805142536" w:anchor="__RefHeading___Toc2112_3805142536" w:history="1">
            <w:r>
              <w:rPr>
                <w:rStyle w:val="722"/>
              </w:rPr>
              <w:t xml:space="preserve">10 - France Num : aide à la numérisation des TPE,PME,ETI</w:t>
              <w:tab/>
              <w:t xml:space="preserve">15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4_3805142536" w:anchor="__RefHeading___Toc2114_3805142536" w:history="1">
            <w:r>
              <w:rPr>
                <w:rStyle w:val="722"/>
              </w:rPr>
              <w:t xml:space="preserve">11 - Industrie du futur</w:t>
              <w:tab/>
              <w:t xml:space="preserve">16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6_3805142536" w:anchor="__RefHeading___Toc2116_3805142536" w:history="1">
            <w:r>
              <w:rPr>
                <w:rStyle w:val="722"/>
              </w:rPr>
              <w:t xml:space="preserve">12 - Renforcement subventions Business France</w:t>
              <w:tab/>
              <w:t xml:space="preserve">17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18_3805142536" w:anchor="__RefHeading___Toc2118_3805142536" w:history="1">
            <w:r>
              <w:rPr>
                <w:rStyle w:val="722"/>
              </w:rPr>
              <w:t xml:space="preserve">13 - Soutien aux filières culturelles (cinéma, audiovisuel, musique, numérique, livre)</w:t>
              <w:tab/>
              <w:t xml:space="preserve">18</w:t>
            </w:r>
          </w:hyperlink>
          <w:r/>
          <w:r/>
        </w:p>
        <w:p>
          <w:pPr>
            <w:pStyle w:val="741"/>
            <w:tabs>
              <w:tab w:val="right" w:pos="9356" w:leader="dot"/>
            </w:tabs>
          </w:pPr>
          <w:r/>
          <w:hyperlink w:tooltip="#__RefHeading___Toc2120_3805142536" w:anchor="__RefHeading___Toc2120_3805142536" w:history="1">
            <w:r>
              <w:rPr>
                <w:rStyle w:val="722"/>
              </w:rPr>
              <w:t xml:space="preserve">Volet 3 : Cohésion</w:t>
              <w:tab/>
              <w:t xml:space="preserve">19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2_3805142536" w:anchor="__RefHeading___Toc2122_3805142536" w:history="1">
            <w:r>
              <w:rPr>
                <w:rStyle w:val="722"/>
              </w:rPr>
              <w:t xml:space="preserve">14 - Apprentissage</w:t>
              <w:tab/>
              <w:t xml:space="preserve">20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4_3805142536" w:anchor="__RefHeading___Toc2124_3805142536" w:history="1">
            <w:r>
              <w:rPr>
                <w:rStyle w:val="722"/>
              </w:rPr>
              <w:t xml:space="preserve">15 - Contrats Initiatives Emploi (CIE) Jeunes</w:t>
              <w:tab/>
              <w:t xml:space="preserve">21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6_3805142536" w:anchor="__RefHeading___Toc2126_3805142536" w:history="1">
            <w:r>
              <w:rPr>
                <w:rStyle w:val="722"/>
              </w:rPr>
              <w:t xml:space="preserve">16 - Contrats de professionnalisation</w:t>
              <w:tab/>
              <w:t xml:space="preserve">22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28_3805142536" w:anchor="__RefHeading___Toc2128_3805142536" w:history="1">
            <w:r>
              <w:rPr>
                <w:rStyle w:val="722"/>
              </w:rPr>
              <w:t xml:space="preserve">17 - Garantie jeunes</w:t>
              <w:tab/>
              <w:t xml:space="preserve">23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0_3805142536" w:anchor="__RefHeading___Toc2130_3805142536" w:history="1">
            <w:r>
              <w:rPr>
                <w:rStyle w:val="722"/>
              </w:rPr>
              <w:t xml:space="preserve">18 - Parcours emploi compétences (PEC) Jeunes</w:t>
              <w:tab/>
              <w:t xml:space="preserve">24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2_3805142536" w:anchor="__RefHeading___Toc2132_3805142536" w:history="1">
            <w:r>
              <w:rPr>
                <w:rStyle w:val="722"/>
              </w:rPr>
              <w:t xml:space="preserve">19 - Prime à l'embauche des jeunes</w:t>
              <w:tab/>
              <w:t xml:space="preserve">25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4_3805142536" w:anchor="__RefHeading___Toc2134_3805142536" w:history="1">
            <w:r>
              <w:rPr>
                <w:rStyle w:val="722"/>
              </w:rPr>
              <w:t xml:space="preserve">20 - Prime à l'embauche pour les travailleurs handicapés</w:t>
              <w:tab/>
              <w:t xml:space="preserve">26</w:t>
            </w:r>
          </w:hyperlink>
          <w:r/>
          <w:r/>
        </w:p>
        <w:p>
          <w:pPr>
            <w:pStyle w:val="742"/>
            <w:tabs>
              <w:tab w:val="right" w:pos="9356" w:leader="dot"/>
            </w:tabs>
          </w:pPr>
          <w:r/>
          <w:hyperlink w:tooltip="#__RefHeading___Toc2136_3805142536" w:anchor="__RefHeading___Toc2136_3805142536" w:history="1">
            <w:r>
              <w:rPr>
                <w:rStyle w:val="722"/>
              </w:rPr>
              <w:t xml:space="preserve">21 - Service civique</w:t>
              <w:tab/>
              <w:t xml:space="preserve">27</w:t>
            </w:r>
          </w:hyperlink>
          <w:r/>
          <w:r/>
        </w:p>
      </w:sdtContent>
    </w:sdt>
    <w:p>
      <w:pPr>
        <w:pStyle w:val="740"/>
      </w:pPr>
      <w:r/>
      <w:r>
        <w:fldChar w:fldCharType="end"/>
      </w:r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2"/>
        </w:numPr>
        <w:rPr>
          <w:sz w:val="44"/>
          <w:szCs w:val="44"/>
        </w:rPr>
      </w:pPr>
      <w:r/>
      <w:bookmarkStart w:id="0" w:name="__RefHeading___Toc2090_3805142536"/>
      <w:r/>
      <w:bookmarkEnd w:id="0"/>
      <w:r>
        <w:rPr>
          <w:rFonts w:ascii="Marianne" w:hAnsi="Marianne"/>
          <w:sz w:val="48"/>
          <w:szCs w:val="48"/>
        </w:rPr>
        <w:t xml:space="preserve">Volet 1 : Ecologie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c’est 1,4 millions d’euros mobilisés pour 16 projets de rénovation des bâtiments de l’État et des </w:t>
            </w: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bâtiments d’enseignement supérieur et de recherche, pour un meilleur confort des agents et des usagers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: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En 2020, ce sont 1 750 particuliers qui se sont saisis de MaPrimeRénov’ pour réaliser 17,2 millions d’euros de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travaux pour réduire l’empreinte carbone de leur logement dont 4,7 millions d’euros d’aides de l’Etat.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Jusqu’à présent, 4,1 millions d’euros de France Relance ont été attribués en Charente pour le renouvellement des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canalisations et des centres de traitement d’eau potable et d’assainissement.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7 industries charentaises vont réaliser leur projet de modernisation et de transition écologique pour un fonctionnement plus « vert » (efficacité énergétique, R&amp;D pour l’avion vert de demain, amélioration du bien-être animal,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…) soutenus par 4,1 millions d’euros France Relance.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Relance, c’est aussi reconquérir notre souveraineté alimentaire et accélérer la transition agroécologique </w:t>
            </w: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au service d’une alimentation saine, durable et locale pour tous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.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1,9 million d’euros de subventions pourront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soutenir 159 agriculteurs charentais pour l’achat de matériel performant et économe en produits phytosanitaires.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7 friches industrielles vont être réhabilitées en Charente grâce à 2,3 millions d’euros de France Relance et permettre la réalisation de logements, d’espaces de coworking, d’un espace santé, d’une maison des associations et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des bureaux.</w:t>
            </w:r>
            <w:r>
              <w:rPr>
                <w:rFonts w:ascii="Marianne" w:hAnsi="Marianne" w:cs="Marianne" w:eastAsia="Marianne"/>
              </w:rPr>
            </w:r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" w:name="__RefHeading___Toc2092_3805142536"/>
      <w:r/>
      <w:bookmarkEnd w:id="1"/>
      <w:r>
        <w:rPr>
          <w:rFonts w:ascii="Marianne" w:hAnsi="Marianne" w:cs="Marianne"/>
          <w:color w:val="00A65D"/>
          <w:sz w:val="40"/>
          <w:szCs w:val="40"/>
        </w:rPr>
        <w:t xml:space="preserve">1 - </w:t>
      </w:r>
      <w:hyperlink r:id="rId13" w:tooltip="https://www.economie.gouv.fr/plan-de-relance/profils/entreprises/bonus-ecolog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Bonus écologique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787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572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15 336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13 546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11 609 (9%)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174 963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155 933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135 576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" w:name="__RefHeading___Toc2094_3805142536"/>
      <w:r/>
      <w:bookmarkEnd w:id="3"/>
      <w:r>
        <w:rPr>
          <w:rFonts w:ascii="Marianne" w:hAnsi="Marianne" w:cs="Marianne"/>
          <w:color w:val="00A65D"/>
          <w:sz w:val="40"/>
          <w:szCs w:val="40"/>
        </w:rPr>
        <w:t xml:space="preserve">2 - </w:t>
      </w:r>
      <w:hyperlink r:id="rId14" w:tooltip="https://www.economie.gouv.fr/plan-de-relance/profils/particuliers/maprimerenov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MaPrimeRénov'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32"/>
        <w:gridCol w:w="238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1 710 (7%)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27.1 M€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1 319 (7%)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23.1 M€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3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882 (7%)  </w:t>
            </w:r>
            <w:r/>
          </w:p>
        </w:tc>
        <w:tc>
          <w:tcPr>
            <w:shd w:val="clear" w:fill="FFFFFF" w:color="FFFFFF"/>
            <w:tcW w:w="238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19.2 M€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600"/>
        <w:gridCol w:w="4442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7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24 503 (11%)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396.4 M€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19 051 (11%)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340.8 M€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2600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12 958 (11%)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271.3 M€ (10%)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95"/>
        <w:gridCol w:w="4446"/>
        <w:gridCol w:w="2375"/>
      </w:tblGrid>
      <w:tr>
        <w:trPr>
          <w:trHeight w:val="400"/>
        </w:trPr>
        <w:tc>
          <w:tcPr>
            <w:gridSpan w:val="3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226 749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3844.0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173 481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3254.2 M€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259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4446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116 718  </w:t>
            </w:r>
            <w:r/>
          </w:p>
        </w:tc>
        <w:tc>
          <w:tcPr>
            <w:shd w:val="clear" w:fill="FFFFFF" w:color="FFFFFF"/>
            <w:tcW w:w="2375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2695.0 M€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5" w:name="__RefHeading___Toc2096_3805142536"/>
      <w:r/>
      <w:bookmarkEnd w:id="5"/>
      <w:r>
        <w:rPr>
          <w:rFonts w:ascii="Marianne" w:hAnsi="Marianne" w:cs="Marianne"/>
          <w:color w:val="00A65D"/>
          <w:sz w:val="40"/>
          <w:szCs w:val="40"/>
        </w:rPr>
        <w:t xml:space="preserve">3 - </w:t>
      </w:r>
      <w:hyperlink r:id="rId15" w:tooltip="https://www.entreprises.gouv.fr/fr/actualites/industrie/fonds-de-soutien-aux-filieres-automobile-et-aeronautique-205-nouveaux-laurea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Modernisation des filières automobiles et aéronautiques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41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41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32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531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7" w:name="__RefHeading___Toc2098_3805142536"/>
      <w:r/>
      <w:bookmarkEnd w:id="7"/>
      <w:r>
        <w:rPr>
          <w:rFonts w:ascii="Marianne" w:hAnsi="Marianne" w:cs="Marianne"/>
          <w:color w:val="00A65D"/>
          <w:sz w:val="40"/>
          <w:szCs w:val="40"/>
        </w:rPr>
        <w:t xml:space="preserve">4 - </w:t>
      </w:r>
      <w:hyperlink r:id="rId16" w:tooltip="https://www.economie.gouv.fr/plan-de-relance/profils/entreprises/prime-conversion-soutien-aquisition-agro-equipement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agroéquipements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1 302 (16%)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1 302 (16%)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8 277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7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9" w:name="__RefHeading___Toc2100_3805142536"/>
      <w:r/>
      <w:bookmarkEnd w:id="9"/>
      <w:r>
        <w:rPr>
          <w:rFonts w:ascii="Marianne" w:hAnsi="Marianne" w:cs="Marianne"/>
          <w:color w:val="00A65D"/>
          <w:sz w:val="40"/>
          <w:szCs w:val="40"/>
        </w:rPr>
        <w:t xml:space="preserve">5 - </w:t>
      </w:r>
      <w:hyperlink r:id="rId17" w:tooltip="https://www.ecologie.gouv.fr/france-relance-bonus-ecologique-et-prime-conversion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la conversion des véhicules légers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1 173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1 106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1 032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20 443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19 475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18 349 (11%)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188 317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179 763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170 873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1" w:name="__RefHeading___Toc2102_3805142536"/>
      <w:r/>
      <w:bookmarkEnd w:id="11"/>
      <w:r>
        <w:rPr>
          <w:rFonts w:ascii="Marianne" w:hAnsi="Marianne" w:cs="Marianne"/>
          <w:color w:val="00A65D"/>
          <w:sz w:val="40"/>
          <w:szCs w:val="40"/>
        </w:rPr>
        <w:t xml:space="preserve">6 - </w:t>
      </w:r>
      <w:hyperlink r:id="rId18" w:tooltip="https://www.economie.gouv.fr/plan-de-relance/profils/entreprises/fonds-recyclage-frich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Réhabilitation Friches (urbaines et sites pollués)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 (56%)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3" w:name="__RefHeading___Toc2104_3805142536"/>
      <w:r/>
      <w:bookmarkEnd w:id="13"/>
      <w:r>
        <w:rPr>
          <w:rFonts w:ascii="Marianne" w:hAnsi="Marianne" w:cs="Marianne"/>
          <w:color w:val="00A65D"/>
          <w:sz w:val="40"/>
          <w:szCs w:val="40"/>
        </w:rPr>
        <w:t xml:space="preserve">7 - </w:t>
      </w:r>
      <w:hyperlink r:id="rId19" w:tooltip="https://www.economie.gouv.fr/plan-de-relance/profils/administrations/renovation-energetique-batiments-public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Rénovation bâtiments Etat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(2%)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136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81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47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1 420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995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587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Le CROUS de l’Université Niort-Angoulême-Chatellerault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L’agence nationale pour la formation professionnelle des adultes à Mornac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La Direction des services départementaux de l’Education Nationale à Angoulême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Les structures judiciaires de Bonneville et Cognac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La préfecture et les sous-préfectures de Confolens et de Cognac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Le site de l’Armée de L’Air de Châteaubernard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La caserne de la gendarmerie à Angoulême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Les locaux de la police à Cognac et à Angoulême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Le Bureau du soutien logistique et juridique à Jarnac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Les locaux de la Direction Départementale des Territoires à Angoulême ;</w:t>
            </w:r>
            <w:r/>
          </w:p>
          <w:p>
            <w:pPr>
              <w:pStyle w:val="29"/>
              <w:numPr>
                <w:ilvl w:val="0"/>
                <w:numId w:val="26"/>
              </w:numPr>
              <w:ind w:right="0"/>
              <w:spacing w:lineRule="atLeast" w:line="277" w:after="0" w:before="24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A"/>
                <w:sz w:val="20"/>
              </w:rPr>
              <w:t xml:space="preserve">Le service territorial de l’architecture et du patrimoine à Angoulême.</w:t>
            </w:r>
            <w:r/>
          </w:p>
          <w:p>
            <w:pPr>
              <w:pStyle w:val="739"/>
              <w:jc w:val="left"/>
              <w:spacing w:lineRule="auto" w:line="240" w:after="0" w:before="0"/>
            </w:pPr>
            <w:r/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0"/>
        </w:numPr>
        <w:rPr>
          <w:sz w:val="44"/>
          <w:szCs w:val="44"/>
        </w:rPr>
      </w:pPr>
      <w:r/>
      <w:bookmarkStart w:id="15" w:name="__RefHeading___Toc2106_3805142536"/>
      <w:r/>
      <w:bookmarkEnd w:id="15"/>
      <w:r>
        <w:rPr>
          <w:rFonts w:ascii="Marianne" w:hAnsi="Marianne"/>
          <w:sz w:val="48"/>
          <w:szCs w:val="48"/>
        </w:rPr>
        <w:t xml:space="preserve">Volet 2 : Compétitivité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/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c’est un soutien à l’industrie charentaise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: 7 entreprises du département bénéficient pour leurs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projets de 4,2 millions d’euros de subventions pour réaliser 11 millions d’euros  d'investissements et améliorer ainsi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leur compétitivité.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renforce la compétitivité du territoire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avec une baisse des impôts de production de 56,7 millions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d’euros pour 3955 entreprises du département.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accompagne les entreprises de Charente à l’export :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11 entreprises charentaises ont déposé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12 dossiers pour bénéficier d’un montant de 34 900 euros de « chèques export » de France Relance, visant à les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encourager, malgré le contexte sanitaire, à continuer à prospecter à l’international.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  <w:highlight w:val="no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Relance, c’est préparer l’industrie du futur,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avec 4,4 millions d’euros apportés pour la réalisation des projets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de digitalisation et de robotisation de 28 entreprises charentaises.</w:t>
            </w:r>
            <w:r>
              <w:rPr>
                <w:rFonts w:ascii="Marianne" w:hAnsi="Marianne" w:cs="Marianne" w:eastAsia="Marianne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Marianne" w:eastAsia="Marianne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6" w:name="__RefHeading___Toc2108_3805142536"/>
      <w:r/>
      <w:bookmarkEnd w:id="16"/>
      <w:r>
        <w:rPr>
          <w:rFonts w:ascii="Marianne" w:hAnsi="Marianne" w:cs="Marianne"/>
          <w:color w:val="00A65D"/>
          <w:sz w:val="40"/>
          <w:szCs w:val="40"/>
        </w:rPr>
        <w:t xml:space="preserve">8 - </w:t>
      </w:r>
      <w:hyperlink r:id="rId20" w:tooltip="https://www.entreprises.gouv.fr/fr/industrie/politique-industrielle/territoires-d-industr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Soutien aux projets industriels territoires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74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62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49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863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727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625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both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Exemple : L’entreprise PREFATEC France située à la Rochefoucault est une société spécialisée dans la conception et la fabrication de réseaux électriques et hydrauliques. Le projet d’achat de deux machines numériques permettra à l’ent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reprise d’automatiser les process de fabrication, pour augmenter la capacité de production et rester compétitif face aux concurrents français voire étrangers. Cette jeune entreprise a vu ses effectifs doubler en 4 ans et le projet va permettre à l’entrepri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se de gagner en part de marchés et ce nouvel environnement économique contribuera à de nouvelles créations d’emplois. Le nombre envisagé est de 2 à 4 personnes, notamment par la transformation en contrat à durée indéterminée des contrats d’apprentissage.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18" w:name="__RefHeading___Toc2110_3805142536"/>
      <w:r/>
      <w:bookmarkEnd w:id="18"/>
      <w:r>
        <w:rPr>
          <w:rFonts w:ascii="Marianne" w:hAnsi="Marianne" w:cs="Marianne"/>
          <w:color w:val="00A65D"/>
          <w:sz w:val="40"/>
          <w:szCs w:val="40"/>
        </w:rPr>
        <w:t xml:space="preserve">9 - </w:t>
      </w:r>
      <w:hyperlink r:id="rId21" w:tooltip="https://www.bpifrance.fr/A-la-une/Appels-a-projets-concours/Appel-a-projets-Plan-de-relance-pour-l-industrie-Secteurs-strategiques-volet-national-50697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AAP Industrie : Sécurisation approvisionnements critiques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33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33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33 (12%)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309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281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jc w:val="both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both"/>
              <w:spacing w:lineRule="auto" w:line="240" w:after="0" w:before="0"/>
            </w:pP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L’entreprise Schneider Electric, située à Angoulême, sera soutenue par le plan France Relance pour son projet d’automatisation de l’assemblage des composants traversants qui étaient jusqu’à présent assemblés en manuel. Schneide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r Electric fournit des solutions numériques combinant énergie et automatismes, pour plus d’efficacité, au service d’un monde plus durable. </w:t>
              <w:br/>
              <w:t xml:space="preserve">L’enjeu à court terme est de maintenir sur le site des AGRIERS Angoulême une production en garantissant via cet inve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stissement la compétitivité de l’usine. A moyen terme de garantir la vocation de l’usine notamment dans sa capacité à être compétitive sur cette technologie vis-à-vis de concurrents en zone bas coûts et donc de pouvoir intégrer de nouvelles productions."  </w:t>
            </w:r>
            <w:r/>
          </w:p>
        </w:tc>
      </w:tr>
    </w:tbl>
    <w:p>
      <w:pPr>
        <w:pStyle w:val="740"/>
        <w:jc w:val="both"/>
      </w:pPr>
      <w:r/>
      <w:r>
        <w:br w:type="page"/>
      </w:r>
      <w:r/>
    </w:p>
    <w:p>
      <w:pPr>
        <w:pStyle w:val="698"/>
        <w:numPr>
          <w:ilvl w:val="2"/>
          <w:numId w:val="13"/>
        </w:numPr>
        <w:jc w:val="both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0" w:name="__RefHeading___Toc2112_3805142536"/>
      <w:r/>
      <w:bookmarkEnd w:id="20"/>
      <w:r>
        <w:rPr>
          <w:rFonts w:ascii="Marianne" w:hAnsi="Marianne" w:cs="Marianne"/>
          <w:color w:val="00A65D"/>
          <w:sz w:val="40"/>
          <w:szCs w:val="40"/>
        </w:rPr>
        <w:t xml:space="preserve">10 - </w:t>
      </w:r>
      <w:hyperlink r:id="rId22" w:tooltip="https://www.economie.gouv.fr/plan-de-relance/profils/entreprises/aides-francenum-transformation-numer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France Num : aide à la numérisation des TPE,PME,ETI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211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144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1" w:name="__DdeLink__225_3614400758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1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5 183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3 903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2 786 (10%)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50 848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39 192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27 864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  <w:rPr>
                <w:rFonts w:ascii="Marianne" w:hAnsi="Marianne"/>
                <w:b/>
                <w:sz w:val="20"/>
                <w:szCs w:val="20"/>
                <w:highlight w:val="none"/>
              </w:rPr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ind w:left="0" w:right="0" w:firstLine="0"/>
              <w:jc w:val="both"/>
              <w:spacing w:lineRule="atLeast" w:line="57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Sportifit est une salle de sport qui propose des séances de remise en forme (step, pilates...), du matériel cardio-training, ainsi qu’un parcours extérieur de cross-training. La salle est accessible tous les jours.</w:t>
            </w:r>
            <w:r/>
          </w:p>
          <w:p>
            <w:pPr>
              <w:ind w:left="0" w:right="0" w:firstLine="0"/>
              <w:jc w:val="both"/>
              <w:spacing w:lineRule="atLeast" w:line="57" w:after="0" w:before="200"/>
              <w:rPr>
                <w:rFonts w:ascii="Marianne" w:hAnsi="Marianne" w:cs="Marianne" w:eastAsia="Marianne"/>
                <w:color w:val="000000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Conseillée par la CCI, elle a pu bénéficier d’un chèque France Num du plan de relance de 500€ qui lui a permis cette année de proposer un nouveau service : des parcours personnalisés d’entraînement consultables directement sur le smartphone de ses abonnés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grâce à une appli spécialisée.</w:t>
            </w:r>
            <w:r/>
          </w:p>
          <w:p>
            <w:pPr>
              <w:ind w:left="0" w:right="0" w:firstLine="0"/>
              <w:jc w:val="both"/>
              <w:spacing w:lineRule="atLeast" w:line="57" w:after="0" w:before="20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Ce dispositif du plan France Relance en faveur de la transition numérique des petites et moyennes entreprises a déjà bénéficié à 139 entreprises charentaises.</w:t>
            </w:r>
            <w:r/>
          </w:p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  <w:highlight w:val="none"/>
              </w:rPr>
            </w:r>
            <w:r>
              <w:rPr>
                <w:rFonts w:ascii="Marianne" w:hAnsi="Marianne"/>
                <w:b/>
                <w:bCs/>
                <w:sz w:val="20"/>
                <w:szCs w:val="20"/>
                <w:highlight w:val="none"/>
              </w:rPr>
            </w:r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2" w:name="__RefHeading___Toc2114_3805142536"/>
      <w:r/>
      <w:bookmarkEnd w:id="22"/>
      <w:r>
        <w:rPr>
          <w:rFonts w:ascii="Marianne" w:hAnsi="Marianne" w:cs="Marianne"/>
          <w:color w:val="00A65D"/>
          <w:sz w:val="40"/>
          <w:szCs w:val="40"/>
        </w:rPr>
        <w:t xml:space="preserve">11 - </w:t>
      </w:r>
      <w:hyperlink r:id="rId23" w:tooltip="https://www.economie.gouv.fr/plan-de-relance/profils/entreprises/aide-investissement-industrie-du-futur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Industrie du futur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(11%)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 (14%)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3" w:name="__DdeLink__225_36144007581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3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172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74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43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2 403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1 007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705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4" w:name="__RefHeading___Toc2116_3805142536"/>
      <w:r/>
      <w:bookmarkEnd w:id="24"/>
      <w:r>
        <w:rPr>
          <w:rFonts w:ascii="Marianne" w:hAnsi="Marianne" w:cs="Marianne"/>
          <w:color w:val="00A65D"/>
          <w:sz w:val="40"/>
          <w:szCs w:val="40"/>
        </w:rPr>
        <w:t xml:space="preserve">12 - </w:t>
      </w:r>
      <w:hyperlink r:id="rId24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Renforcement subventions Business France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5" w:name="__DdeLink__225_361440075811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5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300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253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206 (10%)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3 184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2 651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2 145  </w:t>
            </w:r>
            <w:r/>
          </w:p>
        </w:tc>
      </w:tr>
    </w:tbl>
    <w:p>
      <w:pPr>
        <w:pStyle w:val="695"/>
        <w:spacing w:after="160" w:before="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W w:w="9417" w:type="dxa"/>
        <w:tblInd w:w="-5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417"/>
      </w:tblGrid>
      <w:tr>
        <w:trPr>
          <w:trHeight w:val="2433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417" w:type="dxa"/>
            <w:textDirection w:val="lrTb"/>
            <w:noWrap w:val="false"/>
          </w:tcPr>
          <w:p>
            <w:pPr>
              <w:pStyle w:val="734"/>
              <w:spacing w:lineRule="auto" w:line="240"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  <w:r/>
          </w:p>
          <w:p>
            <w:pPr>
              <w:pStyle w:val="739"/>
              <w:jc w:val="left"/>
              <w:spacing w:lineRule="auto" w:line="240" w:after="0" w:before="0"/>
              <w:rPr>
                <w:rFonts w:ascii="Marianne" w:hAnsi="Marianne" w:cs="Calibri" w:eastAsia="Calibri"/>
                <w:b w:val="false"/>
                <w:color w:val="auto"/>
                <w:sz w:val="20"/>
                <w:szCs w:val="20"/>
                <w:highlight w:val="none"/>
              </w:rPr>
            </w:pPr>
            <w:r>
              <w:rPr>
                <w:rFonts w:ascii="Marianne" w:hAnsi="Marianne" w:cs="Marianne" w:eastAsia="Marianne"/>
                <w:b w:val="false"/>
                <w:bCs w:val="false"/>
                <w:color w:val="auto"/>
                <w:sz w:val="20"/>
                <w:szCs w:val="20"/>
              </w:rPr>
              <w:t xml:space="preserve">France Relance accompagn</w:t>
            </w:r>
            <w:r>
              <w:rPr>
                <w:rFonts w:ascii="Marianne" w:hAnsi="Marianne" w:cs="Marianne" w:eastAsia="Marianne"/>
                <w:b w:val="false"/>
                <w:bCs w:val="false"/>
                <w:color w:val="auto"/>
                <w:sz w:val="20"/>
                <w:szCs w:val="20"/>
              </w:rPr>
              <w:t xml:space="preserve">e les entreprises de Charente à l’export :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11 entreprises charentaises ont déposé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12 dossiers pour bénéficier d’un montant de 34 900 euros de « chèques export » de France Relance, visant à les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encourager, malgré le contexte sanitaire, à continuer à prospecter à l’international.</w:t>
            </w:r>
            <w:r>
              <w:rPr>
                <w:rFonts w:ascii="Marianne" w:hAnsi="Marianne" w:cs="Marianne" w:eastAsia="Marianne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  <w:highlight w:val="none"/>
              </w:rPr>
            </w:r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6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6" w:name="__RefHeading___Toc2118_3805142536"/>
      <w:r/>
      <w:bookmarkEnd w:id="26"/>
      <w:r>
        <w:rPr>
          <w:rFonts w:ascii="Marianne" w:hAnsi="Marianne" w:cs="Marianne"/>
          <w:color w:val="00A65D"/>
          <w:sz w:val="40"/>
          <w:szCs w:val="40"/>
        </w:rPr>
        <w:t xml:space="preserve">13 - </w:t>
      </w:r>
      <w:hyperlink r:id="rId25" w:tooltip="https://www.economie.gouv.fr/files/files/directions_services/plan-de-relance/Guide-mesures-relance-exportations.pdf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Soutien aux filières culturelles (cinéma, audiovisuel, musique, numérique, livre)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24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23 (4%)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7" w:name="__DdeLink__225_361440075812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7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562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548 (14%)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4 041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3 876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0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5"/>
        <w:rPr>
          <w:rFonts w:ascii="Marianne" w:hAnsi="Marianne" w:cs="Arial"/>
          <w:sz w:val="56"/>
          <w:szCs w:val="56"/>
        </w:rPr>
      </w:pPr>
      <w:r>
        <w:rPr>
          <w:rFonts w:ascii="Marianne" w:hAnsi="Marianne" w:cs="Arial"/>
          <w:sz w:val="56"/>
          <w:szCs w:val="56"/>
        </w:rPr>
      </w:r>
      <w:r/>
    </w:p>
    <w:p>
      <w:pPr>
        <w:pStyle w:val="697"/>
        <w:numPr>
          <w:ilvl w:val="1"/>
          <w:numId w:val="17"/>
        </w:numPr>
        <w:rPr>
          <w:sz w:val="44"/>
          <w:szCs w:val="44"/>
        </w:rPr>
      </w:pPr>
      <w:r/>
      <w:bookmarkStart w:id="28" w:name="__RefHeading___Toc2120_3805142536"/>
      <w:r/>
      <w:bookmarkEnd w:id="28"/>
      <w:r>
        <w:rPr>
          <w:rFonts w:ascii="Marianne" w:hAnsi="Marianne"/>
          <w:sz w:val="48"/>
          <w:szCs w:val="48"/>
        </w:rPr>
        <w:t xml:space="preserve">Volet 3 : Cohésion</w:t>
      </w:r>
      <w:r/>
    </w:p>
    <w:tbl>
      <w:tblPr>
        <w:tblW w:w="9072" w:type="dxa"/>
        <w:tblInd w:w="0" w:type="dxa"/>
        <w:tblBorders>
          <w:left w:val="single" w:color="000000" w:sz="2" w:space="0"/>
          <w:top w:val="single" w:color="000000" w:sz="2" w:space="0"/>
          <w:right w:val="single" w:color="000000" w:sz="2" w:space="0"/>
          <w:bottom w:val="single" w:color="000000" w:sz="2" w:space="0"/>
          <w:insideV w:val="single" w:color="000000" w:sz="2" w:space="0"/>
          <w:insideH w:val="single" w:color="000000" w:sz="2" w:space="0"/>
        </w:tblBorders>
        <w:tblCellMar>
          <w:left w:w="40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9072"/>
      </w:tblGrid>
      <w:tr>
        <w:trPr>
          <w:trHeight w:val="8055"/>
        </w:trPr>
        <w:tc>
          <w:tcPr>
            <w:shd w:val="clear" w:color="auto" w:fill="auto"/>
            <w:tcBorders>
              <w:left w:val="single" w:color="000000" w:sz="2" w:space="0"/>
              <w:top w:val="single" w:color="000000" w:sz="2" w:space="0"/>
              <w:right w:val="single" w:color="000000" w:sz="2" w:space="0"/>
              <w:bottom w:val="single" w:color="000000" w:sz="2" w:space="0"/>
              <w:insideV w:val="single" w:color="000000" w:sz="2" w:space="0"/>
              <w:insideH w:val="single" w:color="000000" w:sz="2" w:space="0"/>
            </w:tcBorders>
            <w:tcW w:w="9072" w:type="dxa"/>
            <w:textDirection w:val="lrTb"/>
            <w:noWrap w:val="false"/>
          </w:tcPr>
          <w:p>
            <w:pPr>
              <w:pStyle w:val="739"/>
              <w:jc w:val="left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Marianne" w:hAnsi="Marianne" w:cs="Calibri" w:eastAsia="Calibr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ascii="Marianne" w:hAnsi="Marianne" w:cs="Calibri" w:eastAsia="Calibr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  <w:r/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  <w:sz w:val="2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c’est donner des perspectives aux jeunes charentais avec le plan « 1 jeune, 1 solution ».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Plus de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3 800 jeunes charentais en ont bénéficié dont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- 1 103 primes à l’embauche financées par France Relance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- 2 706 contrats d’apprentissage aidés par France Relance.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c’est l’Etat aux côtés des communes charentaises dans leurs projets ’investissement local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: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21 projets de communes ont bénéficié de 5 millions d’euros au titre de la dotation de soutien à l’investissement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local pour réaliser 13 millions d’euros d’investissements publics tels que :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Les Coteaux du Blanzacais pour l’acquisition d’un cabinet médical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Jarnac pour la rénovation de sa piscine en vue d’améliorer l’accessibilité et des performances énergétiques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Brossac pour des travaux de restructuration et de transition écologique de son groupe scolaire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Fléac et Vouzan pour l’agrandissement et la réhabilitation thermique de leur cuisine scolaire ;</w:t>
            </w:r>
            <w:r>
              <w:rPr>
                <w:rFonts w:ascii="Marianne" w:hAnsi="Marianne" w:cs="Marianne" w:eastAsia="Marianne"/>
                <w:color w:val="000000"/>
                <w:sz w:val="22"/>
              </w:rPr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Angoulême pour la réhabilitation de la crèche de Ma Campagne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Mainzac pour l’amélioration thermique et la rénovation de la salle communale.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accélère la transition numérique, avec :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- 50 entreprises bénéficiaires d’un chèque numérique de 500 euros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- 575 648 euros pour équiper d’un socle numérique 76 écoles charentaises, avec l’objectif de réduire les iné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galités scolaires et de lutter contre la fracture numérique.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A65D"/>
                <w:sz w:val="20"/>
              </w:rPr>
              <w:t xml:space="preserve">Pour l’éducation, France Relance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permet la réhabilitation de 168 places d’internat d’excellence dans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2 établissements charentais, à Ruffec et à Montemboeuf, avec un soutien de 1,4 million d’euros.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accompagne les associations de solidarité charentaises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avec 160 000 euros qui financeront les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projets de mobilité solidaire et d’aide alimentaire des associations Emmaüs Ruffec, 4 routes et Restos du Coeur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de Charente. 22 logements sociaux seront également réhabilités sur les communes de Cognac, Châteauneuf-surCharente et Roullet-Saint-Estèphe avec le soutien de 242 000 euros de France Relance.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France Relance c’est aussi le souci de maintenir un réseau de services culturels, de préserver notre patrimoine </w:t>
            </w:r>
            <w:r>
              <w:rPr>
                <w:rFonts w:ascii="Marianne" w:hAnsi="Marianne" w:cs="Marianne" w:eastAsia="Marianne"/>
                <w:color w:val="169B62"/>
                <w:sz w:val="20"/>
              </w:rPr>
              <w:t xml:space="preserve">et notamment les monuments historiques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L’Ecole Européenne Supérieure de l’Image bénéficiera d’un soutien de 30 000 euros pour un programme de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digitalisation et de numérisation des pratiques de formations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Le Fonds Régional d’Art Contemporain situé à Angoulême et Limazay est réabondé de 65 000 euros de crédits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France Relance pour étoffer sa collection d’oeuvres exposables au public Charentais ;</w:t>
            </w:r>
            <w:r>
              <w:rPr>
                <w:rFonts w:ascii="Marianne" w:hAnsi="Marianne" w:cs="Marianne" w:eastAsia="Marianne"/>
              </w:rPr>
            </w:r>
          </w:p>
          <w:p>
            <w:pPr>
              <w:ind w:left="0" w:right="0" w:firstLine="0"/>
              <w:jc w:val="both"/>
              <w:spacing w:lineRule="atLeast" w:line="240" w:after="0" w:before="0"/>
              <w:rPr>
                <w:rFonts w:ascii="Marianne" w:hAnsi="Marianne" w:cs="Marianne" w:eastAsia="Marianne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- Les églises de Confolens, Parzac et Ruffec ainsi que le lavoir du parc des Charmilles sur la commune d’Aigre </w:t>
            </w:r>
            <w:r>
              <w:rPr>
                <w:rFonts w:ascii="Marianne" w:hAnsi="Marianne" w:cs="Marianne" w:eastAsia="Marianne"/>
                <w:color w:val="000000"/>
                <w:sz w:val="20"/>
              </w:rPr>
              <w:t xml:space="preserve">bénéficieront de fonds du Plan France Relance pour contribuer à leur restauration et la commune de Montignac sur Charente bénéficiera d’un soutien au financement pour la sécurisation et la rénovation de ses remparts.</w:t>
            </w:r>
            <w:r>
              <w:rPr>
                <w:rFonts w:ascii="Marianne" w:hAnsi="Marianne" w:cs="Marianne" w:eastAsia="Marianne"/>
              </w:rPr>
            </w:r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8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29" w:name="__RefHeading___Toc2122_3805142536"/>
      <w:r/>
      <w:bookmarkEnd w:id="29"/>
      <w:r>
        <w:rPr>
          <w:rFonts w:ascii="Marianne" w:hAnsi="Marianne" w:cs="Marianne"/>
          <w:color w:val="00A65D"/>
          <w:sz w:val="40"/>
          <w:szCs w:val="40"/>
        </w:rPr>
        <w:t xml:space="preserve">14 - </w:t>
      </w:r>
      <w:hyperlink r:id="rId26" w:tooltip="https://travail-emploi.gouv.fr/demarches-ressources-documentaires/documentation-et-publications-officielles/guides/article/plan-de-relance-de-l-apprentissage-guide-pratique-pour-les-entrepris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Apprentissage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2 200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2 076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1 857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0" w:name="__DdeLink__225_361440075813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39 914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36 997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33 737 (9%)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463 014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431 880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396 156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19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1" w:name="__RefHeading___Toc2124_3805142536"/>
      <w:r/>
      <w:bookmarkEnd w:id="31"/>
      <w:r>
        <w:rPr>
          <w:rFonts w:ascii="Marianne" w:hAnsi="Marianne" w:cs="Marianne"/>
          <w:color w:val="00A65D"/>
          <w:sz w:val="40"/>
          <w:szCs w:val="40"/>
        </w:rPr>
        <w:t xml:space="preserve">15 - </w:t>
      </w:r>
      <w:hyperlink r:id="rId27" w:tooltip="https://www.economie.gouv.fr/plan-de-relance/profils/entreprises/aide-embauche-jeune-contrat-initiative-emploi-ci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Initiatives Emploi (CIE)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130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102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82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2" w:name="__DdeLink__225_361440075814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1 877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1 374 (10%)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965 (10%)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19 500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14 442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10 146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0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3" w:name="__RefHeading___Toc2126_3805142536"/>
      <w:r/>
      <w:bookmarkEnd w:id="33"/>
      <w:r>
        <w:rPr>
          <w:rFonts w:ascii="Marianne" w:hAnsi="Marianne" w:cs="Marianne"/>
          <w:color w:val="00A65D"/>
          <w:sz w:val="40"/>
          <w:szCs w:val="40"/>
        </w:rPr>
        <w:t xml:space="preserve">16 - </w:t>
      </w:r>
      <w:hyperlink r:id="rId28" w:tooltip="https://travail-emploi.gouv.fr/formation-professionnelle/entreprise-et-alternance/aide-exceptionnelle-contrat-pro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Contrats de professionnalisation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156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139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130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4" w:name="__DdeLink__225_361440075815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3 147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2 787 (7%)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2 640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47 767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42 619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38 193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1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5" w:name="__RefHeading___Toc2128_3805142536"/>
      <w:r/>
      <w:bookmarkEnd w:id="35"/>
      <w:r>
        <w:rPr>
          <w:rFonts w:ascii="Marianne" w:hAnsi="Marianne" w:cs="Marianne"/>
          <w:color w:val="00A65D"/>
          <w:sz w:val="40"/>
          <w:szCs w:val="40"/>
        </w:rPr>
        <w:t xml:space="preserve">17 - </w:t>
      </w:r>
      <w:hyperlink r:id="rId29" w:tooltip="https://travail-emploi.gouv.fr/emploi/mesures-jeunes/garantiejeunes/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Garantie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426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323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298 (7%)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6" w:name="__DdeLink__225_361440075816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6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6 585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5 315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4 420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84 019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68 312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55 933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2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7" w:name="__RefHeading___Toc2130_3805142536"/>
      <w:r/>
      <w:bookmarkEnd w:id="37"/>
      <w:r>
        <w:rPr>
          <w:rFonts w:ascii="Marianne" w:hAnsi="Marianne" w:cs="Marianne"/>
          <w:color w:val="00A65D"/>
          <w:sz w:val="40"/>
          <w:szCs w:val="40"/>
        </w:rPr>
        <w:t xml:space="preserve">18 - </w:t>
      </w:r>
      <w:hyperlink r:id="rId30" w:tooltip="https://www.economie.gouv.fr/plan-de-relance/insertion-personnes-eloignees-emploi-pec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Parcours emploi compétences (PEC)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99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91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74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8" w:name="__DdeLink__225_361440075817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8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1 306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1 148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976 (9%)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15 460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13 437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11 369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3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39" w:name="__RefHeading___Toc2132_3805142536"/>
      <w:r/>
      <w:bookmarkEnd w:id="39"/>
      <w:r>
        <w:rPr>
          <w:rFonts w:ascii="Marianne" w:hAnsi="Marianne" w:cs="Marianne"/>
          <w:color w:val="00A65D"/>
          <w:sz w:val="40"/>
          <w:szCs w:val="40"/>
        </w:rPr>
        <w:t xml:space="preserve">19 - </w:t>
      </w:r>
      <w:hyperlink r:id="rId31" w:tooltip="https://www.economie.gouv.fr/plan-de-relance/profils/entreprises/aide-embauche-jeunes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des jeunes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1 522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1 316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1 111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0" w:name="__DdeLink__225_36144007581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0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30 764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26 660 (8%)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22 823 (8%)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372 083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320 336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275 602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4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1" w:name="__RefHeading___Toc2134_3805142536"/>
      <w:r/>
      <w:bookmarkEnd w:id="41"/>
      <w:r>
        <w:rPr>
          <w:rFonts w:ascii="Marianne" w:hAnsi="Marianne" w:cs="Marianne"/>
          <w:color w:val="00A65D"/>
          <w:sz w:val="40"/>
          <w:szCs w:val="40"/>
        </w:rPr>
        <w:t xml:space="preserve">20 - </w:t>
      </w:r>
      <w:hyperlink r:id="rId32" w:tooltip="https://www.economie.gouv.fr/entreprises/aide-mobilisation-employeurs-embauche-travailleurs-handicapes-plan-relanc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Prime à l'embauche pour les travailleurs handicapés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83 (6%)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67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61 (6%)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2" w:name="__DdeLink__225_361440075819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2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1 460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1 239 (12%)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1 056 (12%)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12 099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10 042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8 497  </w:t>
            </w:r>
            <w:r/>
          </w:p>
        </w:tc>
      </w:tr>
    </w:tbl>
    <w:p>
      <w:pPr>
        <w:pStyle w:val="740"/>
      </w:pPr>
      <w:r/>
      <w:r>
        <w:br w:type="page"/>
      </w:r>
      <w:r/>
    </w:p>
    <w:p>
      <w:pPr>
        <w:pStyle w:val="698"/>
        <w:numPr>
          <w:ilvl w:val="2"/>
          <w:numId w:val="25"/>
        </w:numPr>
        <w:jc w:val="center"/>
        <w:spacing w:lineRule="auto" w:line="240" w:after="120" w:before="140"/>
        <w:rPr>
          <w:rFonts w:ascii="Marianne" w:hAnsi="Marianne"/>
          <w:sz w:val="24"/>
          <w:szCs w:val="24"/>
        </w:rPr>
      </w:pPr>
      <w:r/>
      <w:bookmarkStart w:id="43" w:name="__RefHeading___Toc2136_3805142536"/>
      <w:r/>
      <w:bookmarkEnd w:id="43"/>
      <w:r>
        <w:rPr>
          <w:rFonts w:ascii="Marianne" w:hAnsi="Marianne" w:cs="Marianne"/>
          <w:color w:val="00A65D"/>
          <w:sz w:val="40"/>
          <w:szCs w:val="40"/>
        </w:rPr>
        <w:t xml:space="preserve">21 - </w:t>
      </w:r>
      <w:hyperlink r:id="rId33" w:tooltip="https://www.economie.gouv.fr/plan-de-relance/profils/administrations/financement-nouvelles-missions-service-civique" w:history="1">
        <w:r>
          <w:rPr>
            <w:rStyle w:val="721"/>
            <w:rFonts w:ascii="Marianne" w:hAnsi="Marianne" w:cs="Marianne"/>
            <w:color w:val="00A65D"/>
            <w:sz w:val="40"/>
            <w:szCs w:val="40"/>
            <w:u w:val="single"/>
          </w:rPr>
          <w:t xml:space="preserve">Service civique</w:t>
        </w:r>
      </w:hyperlink>
      <w:r/>
      <w:r/>
    </w:p>
    <w:p>
      <w:pPr>
        <w:pStyle w:val="695"/>
        <w:jc w:val="both"/>
        <w:spacing w:lineRule="auto" w:line="240" w:after="46" w:before="0"/>
      </w:pPr>
      <w:r>
        <w:rPr>
          <w:rFonts w:ascii="Marianne" w:hAnsi="Marianne" w:cs="Arial"/>
          <w:i/>
          <w:iCs/>
          <w:sz w:val="20"/>
          <w:szCs w:val="20"/>
        </w:rPr>
        <w:t xml:space="preserve">Données cumulées depuis le début du financement de la mesure par le plan France Relance</w:t>
      </w:r>
      <w:r/>
    </w:p>
    <w:p>
      <w:pPr>
        <w:pStyle w:val="695"/>
        <w:jc w:val="both"/>
        <w:spacing w:lineRule="auto" w:line="240"/>
        <w:rPr>
          <w:i/>
          <w:iCs/>
        </w:rPr>
      </w:pPr>
      <w:r>
        <w:rPr>
          <w:rFonts w:ascii="Marianne" w:hAnsi="Marianne" w:cs="Arial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92"/>
        <w:gridCol w:w="5624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Charente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368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368 (5%)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9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4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331 (5%)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7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7"/>
        <w:gridCol w:w="5629"/>
      </w:tblGrid>
      <w:tr>
        <w:trPr>
          <w:trHeight w:val="400"/>
        </w:trPr>
        <w:tc>
          <w:tcPr>
            <w:gridSpan w:val="2"/>
            <w:shd w:val="clear" w:color="auto" w:fill="auto"/>
            <w:tcW w:w="9416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4" w:name="__DdeLink__225_361440075820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4"/>
            <w:r/>
            <w:r/>
          </w:p>
        </w:tc>
      </w:tr>
      <w:tr>
        <w:trPr>
          <w:trHeight w:val="450"/>
        </w:trPr>
        <w:tc>
          <w:tcPr>
            <w:shd w:val="clear" w:fill="404079" w:color="404079"/>
            <w:tcBorders>
              <w:top w:val="none" w:color="000000" w:sz="4" w:space="0"/>
            </w:tcBorders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7 051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7 051 (9%)  </w:t>
            </w:r>
            <w:r/>
          </w:p>
        </w:tc>
      </w:tr>
      <w:tr>
        <w:trPr>
          <w:trHeight w:val="545"/>
        </w:trPr>
        <w:tc>
          <w:tcPr>
            <w:shd w:val="clear" w:fill="FFFFFF" w:color="FFFFFF"/>
            <w:tcW w:w="3787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29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Style w:val="719"/>
                <w:rFonts w:ascii="Marianne" w:hAnsi="Marianne" w:cs="Arial"/>
                <w:sz w:val="20"/>
                <w:szCs w:val="20"/>
              </w:rPr>
              <w:t xml:space="preserve">6 429 (9%)  </w:t>
            </w:r>
            <w:r/>
          </w:p>
        </w:tc>
      </w:tr>
    </w:tbl>
    <w:p>
      <w:pPr>
        <w:pStyle w:val="695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  <w:r/>
    </w:p>
    <w:tbl>
      <w:tblPr>
        <w:tblStyle w:val="745"/>
        <w:tblW w:w="9416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782"/>
        <w:gridCol w:w="5633"/>
      </w:tblGrid>
      <w:tr>
        <w:trPr>
          <w:trHeight w:val="400"/>
        </w:trPr>
        <w:tc>
          <w:tcPr>
            <w:gridSpan w:val="2"/>
            <w:shd w:val="clear" w:color="auto" w:fill="auto"/>
            <w:tcW w:w="9415" w:type="dxa"/>
            <w:vAlign w:val="center"/>
            <w:textDirection w:val="lrTb"/>
            <w:noWrap w:val="false"/>
          </w:tcPr>
          <w:p>
            <w:pPr>
              <w:pStyle w:val="733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  <w:r/>
          </w:p>
        </w:tc>
      </w:tr>
      <w:tr>
        <w:trPr>
          <w:trHeight w:val="395"/>
        </w:trPr>
        <w:tc>
          <w:tcPr>
            <w:shd w:val="clear" w:fill="404079" w:color="404079"/>
            <w:tcBorders>
              <w:top w:val="none" w:color="000000" w:sz="4" w:space="0"/>
            </w:tcBorders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Date</w:t>
            </w:r>
            <w:r/>
          </w:p>
        </w:tc>
        <w:tc>
          <w:tcPr>
            <w:shd w:val="clear" w:fill="404079" w:color="404079"/>
            <w:tcBorders>
              <w:top w:val="none" w:color="000000" w:sz="4" w:space="0"/>
            </w:tcBorders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  <w:rPr>
                <w:rFonts w:ascii="Marianne" w:hAnsi="Marianne"/>
              </w:rPr>
            </w:pPr>
            <w:r>
              <w:rPr>
                <w:rFonts w:ascii="Marianne" w:hAnsi="Marianne" w:cs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Mai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Avril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79 626  </w:t>
            </w:r>
            <w:r/>
          </w:p>
        </w:tc>
      </w:tr>
      <w:tr>
        <w:trPr>
          <w:trHeight w:val="617"/>
        </w:trPr>
        <w:tc>
          <w:tcPr>
            <w:shd w:val="clear" w:fill="FFFFFF" w:color="FFFFFF"/>
            <w:tcW w:w="3782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Mars 2021  </w:t>
            </w:r>
            <w:r/>
          </w:p>
        </w:tc>
        <w:tc>
          <w:tcPr>
            <w:shd w:val="clear" w:fill="BDBDBD" w:color="BDBDBD"/>
            <w:tcW w:w="5633" w:type="dxa"/>
            <w:vAlign w:val="center"/>
            <w:textDirection w:val="lrTb"/>
            <w:noWrap w:val="false"/>
          </w:tcPr>
          <w:p>
            <w:pPr>
              <w:pStyle w:val="695"/>
              <w:jc w:val="center"/>
              <w:spacing w:lineRule="auto" w:line="240" w:after="0" w:before="0"/>
            </w:pPr>
            <w:r>
              <w:rPr>
                <w:rFonts w:ascii="Marianne" w:hAnsi="Marianne" w:cs="Arial"/>
                <w:sz w:val="20"/>
                <w:szCs w:val="20"/>
              </w:rPr>
              <w:t xml:space="preserve">71 751  </w:t>
            </w:r>
            <w:r/>
          </w:p>
        </w:tc>
      </w:tr>
    </w:tbl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417" w:right="1406" w:bottom="1417" w:left="1144" w:header="708" w:footer="70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Liberation Sans">
    <w:panose1 w:val="020B0604020202020204"/>
  </w:font>
  <w:font w:name="noto sans cjk sc">
    <w:panose1 w:val="020B0603030804020204"/>
  </w:font>
  <w:font w:name="Marianne">
    <w:panose1 w:val="02000000000000000000"/>
  </w:font>
  <w:font w:name="Times New Roman">
    <w:panose1 w:val="02020603050405020304"/>
  </w:font>
  <w:font w:name="Lohit Devanagari">
    <w:panose1 w:val="020B0600000000000000"/>
  </w:font>
  <w:font w:name="Courier New">
    <w:panose1 w:val="02070309020205020404"/>
  </w:font>
  <w:font w:name="Calibri Light">
    <w:panose1 w:val="020F0502020204030204"/>
  </w:font>
  <w:font w:name="noto sans cjk sc regular">
    <w:panose1 w:val="020B0603030804020204"/>
  </w:font>
  <w:font w:name="Arial">
    <w:panose1 w:val="020B0604020202020204"/>
  </w:font>
  <w:font w:name="Liberation Mono">
    <w:panose1 w:val="020704090202050204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rFonts w:ascii="Marianne" w:hAnsi="Marianne"/>
        <w:sz w:val="22"/>
        <w:szCs w:val="22"/>
      </w:rPr>
      <w:instrText xml:space="preserve"> PAGE </w:instrText>
    </w:r>
    <w:r>
      <w:rPr>
        <w:rFonts w:ascii="Marianne" w:hAnsi="Marianne"/>
        <w:sz w:val="22"/>
        <w:szCs w:val="22"/>
      </w:rPr>
      <w:fldChar w:fldCharType="separate"/>
    </w:r>
    <w:r>
      <w:rPr>
        <w:rFonts w:ascii="Marianne" w:hAnsi="Marianne"/>
        <w:sz w:val="22"/>
        <w:szCs w:val="22"/>
      </w:rPr>
      <w:t xml:space="preserve">27</w:t>
    </w:r>
    <w:r>
      <w:rPr>
        <w:rFonts w:ascii="Marianne" w:hAnsi="Marianne"/>
        <w:sz w:val="22"/>
        <w:szCs w:val="22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0"/>
    </w:pPr>
    <w:r>
      <mc:AlternateContent>
        <mc:Choice Requires="wpg">
          <w:drawing>
            <wp:anchor xmlns:wp="http://schemas.openxmlformats.org/drawingml/2006/wordprocessingDrawing" distT="0" distB="9525" distL="114300" distR="114300" simplePos="0" relativeHeight="28" behindDoc="0" locked="0" layoutInCell="1" allowOverlap="1">
              <wp:simplePos x="0" y="0"/>
              <wp:positionH relativeFrom="column">
                <wp:posOffset>-361315</wp:posOffset>
              </wp:positionH>
              <wp:positionV relativeFrom="paragraph">
                <wp:posOffset>-211455</wp:posOffset>
              </wp:positionV>
              <wp:extent cx="660400" cy="596265"/>
              <wp:effectExtent l="0" t="0" r="0" b="0"/>
              <wp:wrapTight wrapText="bothSides">
                <wp:wrapPolygon edited="1">
                  <wp:start x="-630" y="0"/>
                  <wp:lineTo x="-630" y="20684"/>
                  <wp:lineTo x="20573" y="20684"/>
                  <wp:lineTo x="20573" y="0"/>
                  <wp:lineTo x="-630" y="0"/>
                </wp:wrapPolygon>
              </wp:wrapTight>
              <wp:docPr id="1" name="Image 1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 1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660400" cy="5962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8pt;z-index:28;o:allowoverlap:true;o:allowincell:true;mso-position-horizontal-relative:text;margin-left:-28.4pt;mso-position-horizontal:absolute;mso-position-vertical-relative:text;margin-top:-16.6pt;mso-position-vertical:absolute;width:52.0pt;height:46.9pt;" wrapcoords="-2916 0 -2916 95759 95245 95759 95245 0 -2916 0" stroked="false">
              <v:path textboxrect="0,0,0,0"/>
              <v:imagedata r:id="rId1" o:title=""/>
            </v:shape>
          </w:pict>
        </mc:Fallback>
      </mc:AlternateContent>
      <mc:AlternateContent>
        <mc:Choice Requires="wpg">
          <w:drawing>
            <wp:anchor xmlns:wp="http://schemas.openxmlformats.org/drawingml/2006/wordprocessingDrawing" distT="0" distB="0" distL="114300" distR="114300" simplePos="0" relativeHeight="55" behindDoc="0" locked="0" layoutInCell="1" allowOverlap="1">
              <wp:simplePos x="0" y="0"/>
              <wp:positionH relativeFrom="column">
                <wp:posOffset>4972685</wp:posOffset>
              </wp:positionH>
              <wp:positionV relativeFrom="paragraph">
                <wp:posOffset>-260350</wp:posOffset>
              </wp:positionV>
              <wp:extent cx="963930" cy="642620"/>
              <wp:effectExtent l="0" t="0" r="0" b="0"/>
              <wp:wrapTight wrapText="bothSides">
                <wp:wrapPolygon edited="1">
                  <wp:start x="-1262" y="0"/>
                  <wp:lineTo x="-1262" y="19299"/>
                  <wp:lineTo x="20085" y="19299"/>
                  <wp:lineTo x="20085" y="0"/>
                  <wp:lineTo x="-1262" y="0"/>
                </wp:wrapPolygon>
              </wp:wrapTight>
              <wp:docPr id="2" name="Image 2" descr="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2" descr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963930" cy="642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55;o:allowoverlap:true;o:allowincell:true;mso-position-horizontal-relative:text;margin-left:391.5pt;mso-position-horizontal:absolute;mso-position-vertical-relative:text;margin-top:-20.5pt;mso-position-vertical:absolute;width:75.9pt;height:50.6pt;" wrapcoords="-5842 0 -5842 89347 92986 89347 92986 0 -5842 0" stroked="false">
              <v:path textboxrect="0,0,0,0"/>
              <v:imagedata r:id="rId2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697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698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5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8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9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2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3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4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A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A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A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A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A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A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A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A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A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fr-FR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99"/>
    <w:link w:val="696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99"/>
    <w:link w:val="697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99"/>
    <w:link w:val="698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95"/>
    <w:next w:val="695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6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95"/>
    <w:next w:val="695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6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95"/>
    <w:next w:val="695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6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95"/>
    <w:next w:val="695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6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95"/>
    <w:next w:val="695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6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95"/>
    <w:next w:val="695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6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95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699"/>
    <w:link w:val="728"/>
    <w:uiPriority w:val="10"/>
    <w:rPr>
      <w:sz w:val="48"/>
      <w:szCs w:val="48"/>
    </w:rPr>
  </w:style>
  <w:style w:type="paragraph" w:styleId="34">
    <w:name w:val="Subtitle"/>
    <w:basedOn w:val="695"/>
    <w:next w:val="695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699"/>
    <w:link w:val="34"/>
    <w:uiPriority w:val="11"/>
    <w:rPr>
      <w:sz w:val="24"/>
      <w:szCs w:val="24"/>
    </w:rPr>
  </w:style>
  <w:style w:type="paragraph" w:styleId="36">
    <w:name w:val="Quote"/>
    <w:basedOn w:val="695"/>
    <w:next w:val="695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95"/>
    <w:next w:val="695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99"/>
    <w:link w:val="730"/>
    <w:uiPriority w:val="99"/>
  </w:style>
  <w:style w:type="character" w:styleId="43">
    <w:name w:val="Footer Char"/>
    <w:basedOn w:val="699"/>
    <w:link w:val="731"/>
    <w:uiPriority w:val="99"/>
  </w:style>
  <w:style w:type="character" w:styleId="45">
    <w:name w:val="Caption Char"/>
    <w:basedOn w:val="729"/>
    <w:link w:val="731"/>
    <w:uiPriority w:val="99"/>
  </w:style>
  <w:style w:type="table" w:styleId="47">
    <w:name w:val="Table Grid Light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4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4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74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74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74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95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99"/>
    <w:uiPriority w:val="99"/>
    <w:unhideWhenUsed/>
    <w:rPr>
      <w:vertAlign w:val="superscript"/>
    </w:rPr>
  </w:style>
  <w:style w:type="paragraph" w:styleId="176">
    <w:name w:val="endnote text"/>
    <w:basedOn w:val="695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99"/>
    <w:uiPriority w:val="99"/>
    <w:semiHidden/>
    <w:unhideWhenUsed/>
    <w:rPr>
      <w:vertAlign w:val="superscript"/>
    </w:rPr>
  </w:style>
  <w:style w:type="paragraph" w:styleId="179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2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89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  <w:rPr>
      <w:rFonts w:ascii="Calibri" w:hAnsi="Calibri" w:eastAsia="Calibri"/>
      <w:color w:val="00000A"/>
      <w:sz w:val="22"/>
      <w:szCs w:val="22"/>
      <w:lang w:val="fr-FR" w:bidi="ar-SA" w:eastAsia="en-US"/>
    </w:rPr>
    <w:pPr>
      <w:jc w:val="left"/>
      <w:spacing w:lineRule="auto" w:line="259" w:after="160" w:before="0"/>
      <w:widowControl/>
    </w:pPr>
  </w:style>
  <w:style w:type="paragraph" w:styleId="696">
    <w:name w:val="Heading 1"/>
    <w:basedOn w:val="695"/>
    <w:next w:val="695"/>
    <w:link w:val="707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paragraph" w:styleId="697">
    <w:name w:val="Heading 2"/>
    <w:basedOn w:val="723"/>
    <w:qFormat/>
    <w:rPr>
      <w:b/>
      <w:bCs/>
      <w:sz w:val="32"/>
      <w:szCs w:val="32"/>
    </w:rPr>
    <w:pPr>
      <w:numPr>
        <w:ilvl w:val="1"/>
        <w:numId w:val="1"/>
      </w:numPr>
      <w:spacing w:after="120" w:before="200"/>
      <w:outlineLvl w:val="1"/>
    </w:pPr>
  </w:style>
  <w:style w:type="paragraph" w:styleId="698">
    <w:name w:val="Heading 3"/>
    <w:basedOn w:val="723"/>
    <w:qFormat/>
    <w:rPr>
      <w:b/>
      <w:bCs/>
      <w:sz w:val="28"/>
      <w:szCs w:val="28"/>
    </w:rPr>
    <w:pPr>
      <w:numPr>
        <w:ilvl w:val="2"/>
        <w:numId w:val="1"/>
      </w:numPr>
      <w:spacing w:after="120" w:before="140"/>
      <w:outlineLvl w:val="2"/>
    </w:pPr>
  </w:style>
  <w:style w:type="character" w:styleId="699" w:default="1">
    <w:name w:val="Default Paragraph Font"/>
    <w:qFormat/>
    <w:uiPriority w:val="1"/>
    <w:semiHidden/>
    <w:unhideWhenUsed/>
  </w:style>
  <w:style w:type="character" w:styleId="700" w:customStyle="1">
    <w:name w:val="En-tête Car"/>
    <w:basedOn w:val="699"/>
    <w:qFormat/>
    <w:uiPriority w:val="99"/>
  </w:style>
  <w:style w:type="character" w:styleId="701" w:customStyle="1">
    <w:name w:val="Pied de page Car"/>
    <w:basedOn w:val="699"/>
    <w:link w:val="731"/>
    <w:qFormat/>
    <w:uiPriority w:val="99"/>
  </w:style>
  <w:style w:type="character" w:styleId="702" w:customStyle="1">
    <w:name w:val="Préformaté HTML Car"/>
    <w:basedOn w:val="699"/>
    <w:qFormat/>
    <w:uiPriority w:val="99"/>
    <w:semiHidden/>
    <w:rPr>
      <w:rFonts w:ascii="Courier New" w:hAnsi="Courier New" w:cs="Courier New" w:eastAsia="Times New Roman"/>
      <w:sz w:val="20"/>
      <w:szCs w:val="20"/>
      <w:lang w:eastAsia="fr-FR"/>
    </w:rPr>
  </w:style>
  <w:style w:type="character" w:styleId="703" w:customStyle="1">
    <w:name w:val="p"/>
    <w:basedOn w:val="699"/>
    <w:qFormat/>
  </w:style>
  <w:style w:type="character" w:styleId="704" w:customStyle="1">
    <w:name w:val="o"/>
    <w:basedOn w:val="699"/>
    <w:qFormat/>
  </w:style>
  <w:style w:type="character" w:styleId="705" w:customStyle="1">
    <w:name w:val="n"/>
    <w:basedOn w:val="699"/>
    <w:qFormat/>
  </w:style>
  <w:style w:type="character" w:styleId="706" w:customStyle="1">
    <w:name w:val="k"/>
    <w:basedOn w:val="699"/>
    <w:qFormat/>
  </w:style>
  <w:style w:type="character" w:styleId="707" w:customStyle="1">
    <w:name w:val="Titre 1 Car"/>
    <w:basedOn w:val="699"/>
    <w:link w:val="696"/>
    <w:qFormat/>
    <w:uiPriority w:val="9"/>
    <w:rPr>
      <w:rFonts w:ascii="Calibri Light" w:hAnsi="Calibri Light" w:cs="Calibri Light" w:eastAsia="Calibri Light"/>
      <w:color w:val="2F5496" w:themeColor="accent1" w:themeShade="BF"/>
      <w:sz w:val="32"/>
      <w:szCs w:val="32"/>
    </w:rPr>
  </w:style>
  <w:style w:type="character" w:styleId="708">
    <w:name w:val="Lien Internet"/>
    <w:rPr>
      <w:color w:val="000080"/>
      <w:u w:val="single"/>
    </w:rPr>
  </w:style>
  <w:style w:type="character" w:styleId="709">
    <w:name w:val="Lien Internet visité"/>
    <w:rPr>
      <w:color w:val="800000"/>
      <w:u w:val="single"/>
    </w:rPr>
  </w:style>
  <w:style w:type="character" w:styleId="710">
    <w:name w:val="ListLabel 1"/>
    <w:qFormat/>
    <w:rPr>
      <w:rFonts w:ascii="Arial" w:hAnsi="Arial" w:cs="Arial"/>
      <w:i/>
      <w:iCs/>
      <w:sz w:val="40"/>
      <w:szCs w:val="40"/>
    </w:rPr>
  </w:style>
  <w:style w:type="character" w:styleId="711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712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713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714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715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6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7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8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19">
    <w:name w:val="Texte source"/>
    <w:qFormat/>
    <w:rPr>
      <w:rFonts w:ascii="Liberation Mono" w:hAnsi="Liberation Mono" w:cs="Liberation Mono" w:eastAsia="Liberation Mono"/>
    </w:rPr>
  </w:style>
  <w:style w:type="character" w:styleId="720">
    <w:name w:val="ListLabel 10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721">
    <w:name w:val="ListLabel 11"/>
    <w:qFormat/>
    <w:rPr>
      <w:rFonts w:ascii="Marianne" w:hAnsi="Marianne" w:cs="Marianne"/>
      <w:color w:val="00A65D"/>
      <w:sz w:val="40"/>
      <w:szCs w:val="40"/>
      <w:u w:val="single"/>
    </w:rPr>
  </w:style>
  <w:style w:type="character" w:styleId="722">
    <w:name w:val="Saut d'index"/>
    <w:qFormat/>
  </w:style>
  <w:style w:type="paragraph" w:styleId="723">
    <w:name w:val="Titre"/>
    <w:basedOn w:val="695"/>
    <w:next w:val="724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24">
    <w:name w:val="Body Text"/>
    <w:basedOn w:val="695"/>
    <w:pPr>
      <w:spacing w:lineRule="auto" w:line="276" w:after="140" w:before="0"/>
    </w:pPr>
  </w:style>
  <w:style w:type="paragraph" w:styleId="725">
    <w:name w:val="List"/>
    <w:basedOn w:val="724"/>
    <w:rPr>
      <w:rFonts w:cs="Lohit Devanagari"/>
    </w:rPr>
  </w:style>
  <w:style w:type="paragraph" w:styleId="726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27" w:customStyle="1">
    <w:name w:val="Index"/>
    <w:basedOn w:val="695"/>
    <w:qFormat/>
    <w:rPr>
      <w:rFonts w:cs="Lohit Devanagari"/>
    </w:rPr>
    <w:pPr>
      <w:suppressLineNumbers/>
    </w:pPr>
  </w:style>
  <w:style w:type="paragraph" w:styleId="728">
    <w:name w:val="Title"/>
    <w:basedOn w:val="695"/>
    <w:qFormat/>
    <w:rPr>
      <w:rFonts w:ascii="Liberation Sans" w:hAnsi="Liberation Sans" w:cs="Lohit Devanagari" w:eastAsia="Noto Sans CJK SC Regular"/>
      <w:sz w:val="28"/>
      <w:szCs w:val="28"/>
    </w:rPr>
    <w:pPr>
      <w:keepNext/>
      <w:spacing w:after="120" w:before="240"/>
    </w:pPr>
  </w:style>
  <w:style w:type="paragraph" w:styleId="729">
    <w:name w:val="Caption"/>
    <w:basedOn w:val="695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730">
    <w:name w:val="Header"/>
    <w:basedOn w:val="695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1">
    <w:name w:val="Footer"/>
    <w:basedOn w:val="695"/>
    <w:link w:val="701"/>
    <w:uiPriority w:val="99"/>
    <w:unhideWhenUsed/>
    <w:pPr>
      <w:spacing w:lineRule="auto" w:line="240" w:after="0" w:before="0"/>
      <w:tabs>
        <w:tab w:val="center" w:pos="4536" w:leader="none"/>
        <w:tab w:val="right" w:pos="9072" w:leader="none"/>
      </w:tabs>
    </w:pPr>
  </w:style>
  <w:style w:type="paragraph" w:styleId="732">
    <w:name w:val="HTML Preformatted"/>
    <w:basedOn w:val="695"/>
    <w:link w:val="702"/>
    <w:qFormat/>
    <w:uiPriority w:val="99"/>
    <w:semiHidden/>
    <w:unhideWhenUsed/>
    <w:rPr>
      <w:rFonts w:ascii="Courier New" w:hAnsi="Courier New" w:cs="Courier New" w:eastAsia="Times New Roman"/>
      <w:sz w:val="20"/>
      <w:szCs w:val="20"/>
      <w:lang w:eastAsia="fr-FR"/>
    </w:rPr>
    <w:pPr>
      <w:spacing w:lineRule="auto" w:line="240"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</w:style>
  <w:style w:type="paragraph" w:styleId="733" w:customStyle="1">
    <w:name w:val="Obsah tabulky"/>
    <w:basedOn w:val="695"/>
    <w:qFormat/>
    <w:pPr>
      <w:suppressLineNumbers/>
    </w:pPr>
  </w:style>
  <w:style w:type="paragraph" w:styleId="734" w:customStyle="1">
    <w:name w:val="Contenu de tableau"/>
    <w:basedOn w:val="695"/>
    <w:qFormat/>
    <w:pPr>
      <w:suppressLineNumbers/>
    </w:pPr>
  </w:style>
  <w:style w:type="paragraph" w:styleId="735">
    <w:name w:val="toa heading"/>
    <w:basedOn w:val="728"/>
    <w:qFormat/>
    <w:rPr>
      <w:b/>
      <w:bCs/>
      <w:sz w:val="32"/>
      <w:szCs w:val="32"/>
    </w:rPr>
    <w:pPr>
      <w:suppressLineNumbers/>
    </w:pPr>
  </w:style>
  <w:style w:type="paragraph" w:styleId="736">
    <w:name w:val="TOC Heading"/>
    <w:basedOn w:val="696"/>
    <w:next w:val="695"/>
    <w:qFormat/>
    <w:uiPriority w:val="39"/>
    <w:unhideWhenUsed/>
    <w:rPr>
      <w:lang w:eastAsia="fr-FR"/>
    </w:rPr>
  </w:style>
  <w:style w:type="paragraph" w:styleId="737">
    <w:name w:val="Custom_style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38">
    <w:name w:val="03_texte-courant"/>
    <w:basedOn w:val="695"/>
    <w:qFormat/>
    <w:rPr>
      <w:rFonts w:ascii="Arial" w:hAnsi="Arial" w:cs="Arial" w:eastAsia="Calibri"/>
      <w:bCs/>
      <w:color w:val="000000" w:themeColor="text1"/>
      <w:sz w:val="20"/>
      <w:szCs w:val="20"/>
    </w:rPr>
    <w:pPr>
      <w:jc w:val="both"/>
      <w:spacing w:lineRule="exact" w:line="260" w:after="80" w:before="120"/>
      <w:widowControl w:val="off"/>
    </w:pPr>
  </w:style>
  <w:style w:type="paragraph" w:styleId="739">
    <w:name w:val="Contenu de cadre"/>
    <w:basedOn w:val="695"/>
    <w:qFormat/>
  </w:style>
  <w:style w:type="paragraph" w:styleId="740" w:customStyle="1">
    <w:name w:val="Custom_style2"/>
    <w:qFormat/>
    <w:rPr>
      <w:rFonts w:ascii="Calibri" w:hAnsi="Calibri" w:cs="Calibri" w:eastAsia="Calibri"/>
      <w:color w:val="auto"/>
      <w:sz w:val="4"/>
      <w:szCs w:val="22"/>
      <w:lang w:val="fr-FR" w:bidi="ar-SA" w:eastAsia="en-US"/>
    </w:rPr>
    <w:pPr>
      <w:jc w:val="left"/>
      <w:widowControl/>
    </w:pPr>
  </w:style>
  <w:style w:type="paragraph" w:styleId="741">
    <w:name w:val="toc 2"/>
    <w:basedOn w:val="727"/>
    <w:pPr>
      <w:ind w:left="283" w:firstLine="0"/>
      <w:tabs>
        <w:tab w:val="right" w:pos="9073" w:leader="dot"/>
      </w:tabs>
    </w:pPr>
  </w:style>
  <w:style w:type="paragraph" w:styleId="742">
    <w:name w:val="toc 3"/>
    <w:basedOn w:val="727"/>
    <w:pPr>
      <w:ind w:left="566" w:firstLine="0"/>
      <w:tabs>
        <w:tab w:val="right" w:pos="8790" w:leader="dot"/>
      </w:tabs>
    </w:pPr>
  </w:style>
  <w:style w:type="numbering" w:styleId="743" w:default="1">
    <w:name w:val="No List"/>
    <w:qFormat/>
    <w:uiPriority w:val="99"/>
    <w:semiHidden/>
    <w:unhideWhenUsed/>
  </w:style>
  <w:style w:type="table" w:styleId="74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Table Grid"/>
    <w:basedOn w:val="744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hyperlink" Target="https://www.gouvernement.fr/portraits-de-la-relance" TargetMode="External"/><Relationship Id="rId13" Type="http://schemas.openxmlformats.org/officeDocument/2006/relationships/hyperlink" Target="https://www.economie.gouv.fr/plan-de-relance/profils/entreprises/bonus-ecologique" TargetMode="External"/><Relationship Id="rId14" Type="http://schemas.openxmlformats.org/officeDocument/2006/relationships/hyperlink" Target="https://www.economie.gouv.fr/plan-de-relance/profils/particuliers/maprimerenov" TargetMode="External"/><Relationship Id="rId15" Type="http://schemas.openxmlformats.org/officeDocument/2006/relationships/hyperlink" Target="https://www.entreprises.gouv.fr/fr/actualites/industrie/fonds-de-soutien-aux-filieres-automobile-et-aeronautique-205-nouveaux-laureats" TargetMode="External"/><Relationship Id="rId16" Type="http://schemas.openxmlformats.org/officeDocument/2006/relationships/hyperlink" Target="https://www.economie.gouv.fr/plan-de-relance/profils/entreprises/prime-conversion-soutien-aquisition-agro-equipements" TargetMode="External"/><Relationship Id="rId17" Type="http://schemas.openxmlformats.org/officeDocument/2006/relationships/hyperlink" Target="https://www.ecologie.gouv.fr/france-relance-bonus-ecologique-et-prime-conversion" TargetMode="External"/><Relationship Id="rId18" Type="http://schemas.openxmlformats.org/officeDocument/2006/relationships/hyperlink" Target="https://www.economie.gouv.fr/plan-de-relance/profils/entreprises/fonds-recyclage-friches" TargetMode="External"/><Relationship Id="rId19" Type="http://schemas.openxmlformats.org/officeDocument/2006/relationships/hyperlink" Target="https://www.economie.gouv.fr/plan-de-relance/profils/administrations/renovation-energetique-batiments-publics" TargetMode="External"/><Relationship Id="rId20" Type="http://schemas.openxmlformats.org/officeDocument/2006/relationships/hyperlink" Target="https://www.entreprises.gouv.fr/fr/industrie/politique-industrielle/territoires-d-industrie" TargetMode="External"/><Relationship Id="rId21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22" Type="http://schemas.openxmlformats.org/officeDocument/2006/relationships/hyperlink" Target="https://www.economie.gouv.fr/plan-de-relance/profils/entreprises/aides-francenum-transformation-numerique" TargetMode="External"/><Relationship Id="rId23" Type="http://schemas.openxmlformats.org/officeDocument/2006/relationships/hyperlink" Target="https://www.economie.gouv.fr/plan-de-relance/profils/entreprises/aide-investissement-industrie-du-futur" TargetMode="External"/><Relationship Id="rId24" Type="http://schemas.openxmlformats.org/officeDocument/2006/relationships/hyperlink" Target="https://www.economie.gouv.fr/files/files/directions_services/plan-de-relance/Guide-mesures-relance-exportations.pdf" TargetMode="External"/><Relationship Id="rId25" Type="http://schemas.openxmlformats.org/officeDocument/2006/relationships/hyperlink" Target="https://www.economie.gouv.fr/files/files/directions_services/plan-de-relance/Guide-mesures-relance-exportations.pdf" TargetMode="External"/><Relationship Id="rId26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7" Type="http://schemas.openxmlformats.org/officeDocument/2006/relationships/hyperlink" Target="https://www.economie.gouv.fr/plan-de-relance/profils/entreprises/aide-embauche-jeune-contrat-initiative-emploi-cie" TargetMode="External"/><Relationship Id="rId28" Type="http://schemas.openxmlformats.org/officeDocument/2006/relationships/hyperlink" Target="https://travail-emploi.gouv.fr/formation-professionnelle/entreprise-et-alternance/aide-exceptionnelle-contrat-pro" TargetMode="External"/><Relationship Id="rId29" Type="http://schemas.openxmlformats.org/officeDocument/2006/relationships/hyperlink" Target="https://travail-emploi.gouv.fr/emploi/mesures-jeunes/garantiejeunes/" TargetMode="External"/><Relationship Id="rId30" Type="http://schemas.openxmlformats.org/officeDocument/2006/relationships/hyperlink" Target="https://www.economie.gouv.fr/plan-de-relance/insertion-personnes-eloignees-emploi-pec" TargetMode="External"/><Relationship Id="rId31" Type="http://schemas.openxmlformats.org/officeDocument/2006/relationships/hyperlink" Target="https://www.economie.gouv.fr/plan-de-relance/profils/entreprises/aide-embauche-jeunes" TargetMode="External"/><Relationship Id="rId32" Type="http://schemas.openxmlformats.org/officeDocument/2006/relationships/hyperlink" Target="https://www.economie.gouv.fr/entreprises/aide-mobilisation-employeurs-embauche-travailleurs-handicapes-plan-relance" TargetMode="External"/><Relationship Id="rId33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Company>Secrétariat Général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TRAN</dc:creator>
  <dc:description/>
  <dc:language>fr-FR</dc:language>
  <cp:lastModifiedBy>Sandy LECOQ-ESPALLARGAS</cp:lastModifiedBy>
  <cp:revision>50</cp:revision>
  <dcterms:created xsi:type="dcterms:W3CDTF">2021-04-02T09:48:00Z</dcterms:created>
  <dcterms:modified xsi:type="dcterms:W3CDTF">2021-07-19T17:01:52Z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