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Doubs</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759489958"/>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instrText> TOC \z \o "1-3" \u \h</w:instrText>
          </w:r>
          <w:r>
            <w:fldChar w:fldCharType="separate"/>
          </w:r>
          <w:hyperlink w:anchor="__RefHeading___Toc2106_3817296283">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108_3817296283">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110_3817296283">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112_3817296283">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114_3817296283">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116_3817296283">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118_3817296283">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120_3817296283">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122_3817296283">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24_3817296283">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26_3817296283">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28_3817296283">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30_3817296283">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32_3817296283">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34_3817296283">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36_3817296283">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38_3817296283">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40_3817296283">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42_3817296283">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44_3817296283">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46_3817296283">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48_3817296283">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50_3817296283">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52_3817296283">
            <w:r>
              <w:rPr>
                <w:webHidden/>
                <w:rStyle w:val="Sautdindex"/>
                <w:vanish w:val="false"/>
              </w:rPr>
              <w:t>21 - Service civique</w:t>
              <w:tab/>
              <w:t>26</w:t>
            </w:r>
          </w:hyperlink>
        </w:p>
      </w:sdtContent>
    </w:sdt>
    <w:p>
      <w:pPr>
        <w:pStyle w:val="Customstyle2"/>
        <w:rPr/>
      </w:pPr>
      <w:r>
        <w:rPr/>
      </w:r>
      <w: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106_3817296283"/>
      <w:bookmarkEnd w:id="0"/>
      <w:r>
        <w:rPr>
          <w:rFonts w:ascii="Marianne" w:hAnsi="Marianne"/>
          <w:sz w:val="48"/>
          <w:szCs w:val="48"/>
        </w:rPr>
        <w:t>Volet 1 : Ecologie</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cadre"/>
              <w:overflowPunct w:val="false"/>
              <w:spacing w:lineRule="auto" w:line="240" w:before="0" w:after="0"/>
              <w:jc w:val="left"/>
              <w:rPr>
                <w:rFonts w:ascii="Marianne" w:hAnsi="Marianne"/>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xml:space="preserve">La transition énergétique constitue un sujet de préoccupation locale. Les élus et les territoires s’en sont pleinement emparés sur les dernières années, comme en témoignent les nombreux projets et notamment ceux soutenus dans le cadre de la relance. </w:t>
              <w:br/>
            </w:r>
            <w:r>
              <w:rPr>
                <w:rFonts w:eastAsia="Calibri" w:cs="" w:ascii="Marianne" w:hAnsi="Marianne" w:cstheme="minorBidi" w:eastAsiaTheme="minorHAnsi"/>
                <w:b w:val="false"/>
                <w:bCs w:val="false"/>
                <w:color w:val="00000A"/>
                <w:sz w:val="20"/>
                <w:szCs w:val="20"/>
              </w:rPr>
              <w:t>Au-delà</w:t>
            </w:r>
            <w:r>
              <w:rPr>
                <w:rFonts w:eastAsia="Calibri" w:cs="" w:ascii="Marianne" w:hAnsi="Marianne" w:cstheme="minorBidi" w:eastAsiaTheme="minorHAnsi"/>
                <w:b w:val="false"/>
                <w:bCs w:val="false"/>
                <w:color w:val="00000A"/>
                <w:sz w:val="20"/>
                <w:szCs w:val="20"/>
              </w:rPr>
              <w:t xml:space="preserve">, on constate que grâce au plan France Relance, les entreprises se sont également pleinement engagées dans la démarche, notamment les entreprises des filières industrielles lourdes qui souhaitent moderniser leur outil de production. </w:t>
              <w:br/>
              <w:t xml:space="preserve">Les individus privés sont également concernés, dans leurs travaux d’amélioration énergétique ainsi que dans leurs usages liés à la mobilité. </w:t>
              <w:br/>
              <w:t>Les résultats sont encourageant</w:t>
            </w:r>
            <w:r>
              <w:rPr>
                <w:rFonts w:eastAsia="Calibri" w:cs="" w:ascii="Marianne" w:hAnsi="Marianne" w:cstheme="minorBidi" w:eastAsiaTheme="minorHAnsi"/>
                <w:b w:val="false"/>
                <w:bCs w:val="false"/>
                <w:color w:val="00000A"/>
                <w:sz w:val="20"/>
                <w:szCs w:val="20"/>
              </w:rPr>
              <w:t>s</w:t>
            </w:r>
            <w:r>
              <w:rPr>
                <w:rFonts w:eastAsia="Calibri" w:cs="" w:ascii="Marianne" w:hAnsi="Marianne" w:cstheme="minorBidi" w:eastAsiaTheme="minorHAnsi"/>
                <w:b w:val="false"/>
                <w:bCs w:val="false"/>
                <w:color w:val="00000A"/>
                <w:sz w:val="20"/>
                <w:szCs w:val="20"/>
              </w:rPr>
              <w:t xml:space="preserve"> pour le Doubs.</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108_3817296283"/>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1 356 (25%)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1 172 (25%)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1 027 (25%)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bookmarkEnd w:id="2"/>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5 384 (3%)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4 720 (3%)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4 102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110_3817296283"/>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2600"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2 184 (17%)  </w:t>
            </w:r>
          </w:p>
        </w:tc>
        <w:tc>
          <w:tcPr>
            <w:tcW w:w="238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48.7 M€ (19%)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1 640 (17%)  </w:t>
            </w:r>
          </w:p>
        </w:tc>
        <w:tc>
          <w:tcPr>
            <w:tcW w:w="238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41.1 M€ (19%)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1 093 (17%)  </w:t>
            </w:r>
          </w:p>
        </w:tc>
        <w:tc>
          <w:tcPr>
            <w:tcW w:w="238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34.7 M€ (20%)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bookmarkEnd w:id="4"/>
            <w:r>
              <w:rPr>
                <w:rFonts w:ascii="Marianne" w:hAnsi="Marianne"/>
                <w:b/>
                <w:bCs/>
                <w:sz w:val="20"/>
                <w:szCs w:val="20"/>
              </w:rPr>
              <w:t>: Bourgogne-Franche-Comté</w:t>
            </w:r>
          </w:p>
        </w:tc>
      </w:tr>
      <w:tr>
        <w:trPr>
          <w:trHeight w:val="450" w:hRule="atLeast"/>
        </w:trPr>
        <w:tc>
          <w:tcPr>
            <w:tcW w:w="2600"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13 115 (6%)  </w:t>
            </w:r>
          </w:p>
        </w:tc>
        <w:tc>
          <w:tcPr>
            <w:tcW w:w="2375"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256.2 M€ (7%)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9 736 (6%)  </w:t>
            </w:r>
          </w:p>
        </w:tc>
        <w:tc>
          <w:tcPr>
            <w:tcW w:w="2375"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212.1 M€ (7%)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6 425 (6%)  </w:t>
            </w:r>
          </w:p>
        </w:tc>
        <w:tc>
          <w:tcPr>
            <w:tcW w:w="2375"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175.1 M€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2595"/>
        <w:gridCol w:w="4446"/>
        <w:gridCol w:w="2375"/>
      </w:tblGrid>
      <w:tr>
        <w:trPr>
          <w:trHeight w:val="400" w:hRule="atLeast"/>
        </w:trPr>
        <w:tc>
          <w:tcPr>
            <w:tcW w:w="9416" w:type="dxa"/>
            <w:gridSpan w:val="3"/>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112_3817296283"/>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19 (32%)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19 (32%)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16 (31%)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bookmarkEnd w:id="6"/>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60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60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51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114_3817296283"/>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30 (7%)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30 (7%)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bookmarkEnd w:id="8"/>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413 (5%)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413 (5%)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116_3817296283"/>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1 451 (19%)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1 391 (19%)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1 335 (19%)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bookmarkEnd w:id="10"/>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7 806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7 472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7 154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118_3817296283"/>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bookmarkEnd w:id="12"/>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120_3817296283"/>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15 (15%)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 (12%)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bookmarkEnd w:id="14"/>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99 (7%)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74 (7%)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t>Rénovation du bâtiment de l’École Nationale Supérieure de Mécaniques et des Microtechniques à Besançon, établissement de formation d’excellence reconnu internationalement, dont les locaux devenaient vétustes.</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22_3817296283"/>
      <w:bookmarkEnd w:id="15"/>
      <w:r>
        <w:rPr>
          <w:rFonts w:ascii="Marianne" w:hAnsi="Marianne"/>
          <w:sz w:val="48"/>
          <w:szCs w:val="48"/>
        </w:rPr>
        <w:t>Volet 2 : Compétitivité</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cadre"/>
              <w:overflowPunct w:val="false"/>
              <w:spacing w:lineRule="auto" w:line="240" w:before="0" w:after="0"/>
              <w:jc w:val="left"/>
              <w:rPr>
                <w:rFonts w:ascii="Marianne" w:hAnsi="Marianne"/>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xml:space="preserve">Le département du Doubs bénéficie à plein régime des aides aux entreprises dans le cadre de la relance. Les investissements industriels, qu’ils s’inscrivent dans le cadre de la résilience, de la modernisation des systèmes de production, ou de la relocation, sont soutenus par les dispositifs de la relance. </w:t>
              <w:br/>
              <w:t xml:space="preserve">Les chiffres cumulés pour le Doubs sont très </w:t>
            </w:r>
            <w:r>
              <w:rPr>
                <w:rFonts w:eastAsia="Calibri" w:cs="" w:ascii="Marianne" w:hAnsi="Marianne" w:cstheme="minorBidi" w:eastAsiaTheme="minorHAnsi"/>
                <w:b w:val="false"/>
                <w:bCs w:val="false"/>
                <w:color w:val="00000A"/>
                <w:sz w:val="20"/>
                <w:szCs w:val="20"/>
              </w:rPr>
              <w:t>satisfaisants</w:t>
            </w:r>
            <w:r>
              <w:rPr>
                <w:rFonts w:eastAsia="Calibri" w:cs="" w:ascii="Marianne" w:hAnsi="Marianne" w:cstheme="minorBidi" w:eastAsiaTheme="minorHAnsi"/>
                <w:b w:val="false"/>
                <w:bCs w:val="false"/>
                <w:color w:val="00000A"/>
                <w:sz w:val="20"/>
                <w:szCs w:val="20"/>
              </w:rPr>
              <w:t>, et l’on peut souligner le travail d’accompagnement et de vulgarisation des dispositifs d’aides auprès des entreprises qu’effectuent les équipes de la CCI du Doubs, mobilisées au côté des services de l’État.</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24_3817296283"/>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 (16%)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 (16%)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 (18%)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bookmarkEnd w:id="17"/>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68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57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45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t xml:space="preserve">CHEVAL FRERES à Besançon, spécialisé dans la mécanique de précisions, bénéficie d’une aide de 800k€ pour un investissement de 2,5M€. </w:t>
              <w:br/>
              <w:t xml:space="preserve">CUINET SOLUTION DECHETS, entreprise innovante en matière de recyclage bénéficie d’un soutien de 600k€ pour un investissement de 3,4M€. </w:t>
              <w:br/>
            </w:r>
            <w:r>
              <w:rPr>
                <w:rFonts w:eastAsia="Calibri" w:cs="" w:ascii="Marianne" w:hAnsi="Marianne" w:cstheme="minorBidi" w:eastAsiaTheme="minorHAnsi"/>
                <w:b w:val="false"/>
                <w:bCs w:val="false"/>
                <w:color w:val="00000A"/>
                <w:sz w:val="20"/>
                <w:szCs w:val="20"/>
              </w:rPr>
              <w:t>L</w:t>
            </w:r>
            <w:r>
              <w:rPr>
                <w:rFonts w:eastAsia="Calibri" w:cs="" w:ascii="Marianne" w:hAnsi="Marianne" w:cstheme="minorBidi" w:eastAsiaTheme="minorHAnsi"/>
                <w:b w:val="false"/>
                <w:bCs w:val="false"/>
                <w:color w:val="00000A"/>
                <w:sz w:val="20"/>
                <w:szCs w:val="20"/>
              </w:rPr>
              <w:t xml:space="preserve">’entreprise horlogère PEQUIGNEY bénéficie également d’un soutien à son projet industriel,à hauteur de 300k€ pour un projet d’1,4M€.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t>Enfin, on note également un soutien de 250k€ en faveur du projet d’extension de l’école de production de Besançon, qui travaille en lien étroit avec les industriels du département via son partenariat avec l’UIMM.</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26_3817296283"/>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 (36%)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 (36%)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 (33%)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bookmarkEnd w:id="19"/>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14 (5%)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14 (5%)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12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t xml:space="preserve">L’entreprise RD BIOTECH, spécialiste de la biologie moléculaire, bénéficie d’un important soutien de l’État dans le cadre de la relance, avec une subvention de </w:t>
            </w:r>
            <w:r>
              <w:rPr>
                <w:rFonts w:eastAsia="Calibri" w:cs="" w:ascii="Marianne" w:hAnsi="Marianne" w:cstheme="minorBidi" w:eastAsiaTheme="minorHAnsi"/>
                <w:b w:val="false"/>
                <w:bCs w:val="false"/>
                <w:color w:val="00000A"/>
                <w:sz w:val="20"/>
                <w:szCs w:val="20"/>
              </w:rPr>
              <w:t>1 998 000 </w:t>
            </w:r>
            <w:r>
              <w:rPr>
                <w:rFonts w:eastAsia="Calibri" w:cs="" w:ascii="Marianne" w:hAnsi="Marianne" w:cstheme="minorBidi" w:eastAsiaTheme="minorHAnsi"/>
                <w:b w:val="false"/>
                <w:bCs w:val="false"/>
                <w:color w:val="00000A"/>
                <w:sz w:val="20"/>
                <w:szCs w:val="20"/>
              </w:rPr>
              <w:t xml:space="preserve">€ pour un investissement de 5,8M€.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t>L’entreprise MEREM Electronique de Saône, est également lauréate de cet appel à projets avec un soutien de 1 163 683 € sur un investissement de 2,73 M€.</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28_3817296283"/>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371 (18%)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303 (18%)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226 (18%)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bookmarkEnd w:id="21"/>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2 036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1 689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1 245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tableau"/>
              <w:spacing w:lineRule="auto" w:line="240"/>
              <w:rPr>
                <w:b w:val="false"/>
                <w:b w:val="false"/>
                <w:bCs w:val="false"/>
              </w:rPr>
            </w:pPr>
            <w:r>
              <w:rPr>
                <w:rFonts w:ascii="Marianne" w:hAnsi="Marianne"/>
                <w:b w:val="false"/>
                <w:bCs w:val="false"/>
                <w:sz w:val="20"/>
                <w:szCs w:val="20"/>
              </w:rPr>
              <w:t xml:space="preserve">Plusieurs acteurs bien connu du territoire ont pu développer leur volet numérique grâce à cette aide, à l’instar des Bateaux du Saut-du-Doubs à Villers-le-Lac, le DinoZoo </w:t>
            </w:r>
            <w:r>
              <w:rPr>
                <w:rFonts w:ascii="Marianne" w:hAnsi="Marianne"/>
                <w:b w:val="false"/>
                <w:bCs w:val="false"/>
                <w:sz w:val="20"/>
                <w:szCs w:val="20"/>
              </w:rPr>
              <w:t>d’</w:t>
            </w:r>
            <w:r>
              <w:rPr>
                <w:rFonts w:ascii="Marianne" w:hAnsi="Marianne"/>
                <w:b w:val="false"/>
                <w:bCs w:val="false"/>
                <w:sz w:val="20"/>
                <w:szCs w:val="20"/>
              </w:rPr>
              <w:t>Etalans, ou Le Bruit Qui Pense (promotion spectacle vivant) à Besançon.</w:t>
            </w:r>
          </w:p>
          <w:p>
            <w:pPr>
              <w:pStyle w:val="Contenudetableau"/>
              <w:spacing w:lineRule="auto" w:line="240" w:before="0" w:after="160"/>
              <w:rPr>
                <w:b w:val="false"/>
                <w:b w:val="false"/>
                <w:bCs w:val="false"/>
              </w:rPr>
            </w:pPr>
            <w:r>
              <w:rPr>
                <w:rFonts w:ascii="Marianne" w:hAnsi="Marianne"/>
                <w:b w:val="false"/>
                <w:bCs w:val="false"/>
                <w:sz w:val="20"/>
                <w:szCs w:val="20"/>
              </w:rPr>
              <w:t xml:space="preserve">On </w:t>
            </w:r>
            <w:r>
              <w:rPr>
                <w:rFonts w:ascii="Marianne" w:hAnsi="Marianne"/>
                <w:b w:val="false"/>
                <w:bCs w:val="false"/>
                <w:sz w:val="20"/>
                <w:szCs w:val="20"/>
              </w:rPr>
              <w:t xml:space="preserve">y </w:t>
            </w:r>
            <w:r>
              <w:rPr>
                <w:rFonts w:ascii="Marianne" w:hAnsi="Marianne"/>
                <w:b w:val="false"/>
                <w:bCs w:val="false"/>
                <w:sz w:val="20"/>
                <w:szCs w:val="20"/>
              </w:rPr>
              <w:t xml:space="preserve">retrouve également de nombreux restaurateurs, </w:t>
            </w:r>
            <w:r>
              <w:rPr>
                <w:rFonts w:ascii="Marianne" w:hAnsi="Marianne"/>
                <w:b w:val="false"/>
                <w:bCs w:val="false"/>
                <w:sz w:val="20"/>
                <w:szCs w:val="20"/>
              </w:rPr>
              <w:t>salons de c</w:t>
            </w:r>
            <w:r>
              <w:rPr>
                <w:rFonts w:ascii="Marianne" w:hAnsi="Marianne"/>
                <w:b w:val="false"/>
                <w:bCs w:val="false"/>
                <w:sz w:val="20"/>
                <w:szCs w:val="20"/>
              </w:rPr>
              <w:t>oiff</w:t>
            </w:r>
            <w:r>
              <w:rPr>
                <w:rFonts w:ascii="Marianne" w:hAnsi="Marianne"/>
                <w:b w:val="false"/>
                <w:bCs w:val="false"/>
                <w:sz w:val="20"/>
                <w:szCs w:val="20"/>
              </w:rPr>
              <w:t>ure</w:t>
            </w:r>
            <w:r>
              <w:rPr>
                <w:rFonts w:ascii="Marianne" w:hAnsi="Marianne"/>
                <w:b w:val="false"/>
                <w:bCs w:val="false"/>
                <w:sz w:val="20"/>
                <w:szCs w:val="20"/>
              </w:rPr>
              <w:t xml:space="preserve"> ou établissements de soins/beauté </w:t>
            </w:r>
            <w:r>
              <w:rPr>
                <w:rFonts w:ascii="Marianne" w:hAnsi="Marianne"/>
                <w:b w:val="false"/>
                <w:bCs w:val="false"/>
                <w:sz w:val="20"/>
                <w:szCs w:val="20"/>
              </w:rPr>
              <w:t>sur l’ensemble du département.</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30_3817296283"/>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38 (23%)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 (36%)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 (41%)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bookmarkEnd w:id="23"/>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168 (7%)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36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32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32_3817296283"/>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 (10%)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10 (11%)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bookmarkEnd w:id="25"/>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110 (3%)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95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76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00000A"/>
                <w:sz w:val="20"/>
                <w:szCs w:val="20"/>
              </w:rPr>
            </w:pPr>
            <w:r>
              <w:rPr/>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34_3817296283"/>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31 (18%)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30 (19%)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bookmarkEnd w:id="27"/>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169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160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36_3817296283"/>
      <w:bookmarkEnd w:id="28"/>
      <w:r>
        <w:rPr>
          <w:rFonts w:ascii="Marianne" w:hAnsi="Marianne"/>
          <w:sz w:val="48"/>
          <w:szCs w:val="48"/>
        </w:rPr>
        <w:t>Volet 3 : Cohésion</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cadre"/>
              <w:overflowPunct w:val="false"/>
              <w:spacing w:lineRule="auto" w:line="240" w:before="0" w:after="0"/>
              <w:jc w:val="left"/>
              <w:rPr>
                <w:rFonts w:ascii="Marianne" w:hAnsi="Marianne"/>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xml:space="preserve">Les résultats obtenus à ce jour sont légèrement en deçà des objectifs que l’on peut se fixer pour le département du Doubs., </w:t>
            </w:r>
            <w:r>
              <w:rPr>
                <w:rFonts w:eastAsia="Calibri" w:cs="" w:ascii="Marianne" w:hAnsi="Marianne" w:cstheme="minorBidi" w:eastAsiaTheme="minorHAnsi"/>
                <w:b w:val="false"/>
                <w:bCs w:val="false"/>
                <w:color w:val="00000A"/>
                <w:sz w:val="20"/>
                <w:szCs w:val="20"/>
              </w:rPr>
              <w:t>notamment sur le plan #1 jeune, 1 solution.</w:t>
            </w:r>
            <w:r>
              <w:rPr>
                <w:rFonts w:eastAsia="Calibri" w:cs="" w:ascii="Marianne" w:hAnsi="Marianne" w:cstheme="minorBidi" w:eastAsiaTheme="minorHAnsi"/>
                <w:b w:val="false"/>
                <w:bCs w:val="false"/>
                <w:color w:val="00000A"/>
                <w:sz w:val="20"/>
                <w:szCs w:val="20"/>
              </w:rPr>
              <w:br/>
              <w:t xml:space="preserve">Une mobilisation toute particulière des acteurs du service public de l’emploi est </w:t>
            </w:r>
            <w:r>
              <w:rPr>
                <w:rFonts w:eastAsia="Calibri" w:cs="" w:ascii="Marianne" w:hAnsi="Marianne" w:cstheme="minorBidi" w:eastAsiaTheme="minorHAnsi"/>
                <w:b w:val="false"/>
                <w:bCs w:val="false"/>
                <w:color w:val="00000A"/>
                <w:sz w:val="20"/>
                <w:szCs w:val="20"/>
              </w:rPr>
              <w:t>en cours</w:t>
            </w:r>
            <w:r>
              <w:rPr>
                <w:rFonts w:eastAsia="Calibri" w:cs="" w:ascii="Marianne" w:hAnsi="Marianne" w:cstheme="minorBidi" w:eastAsiaTheme="minorHAnsi"/>
                <w:b w:val="false"/>
                <w:bCs w:val="false"/>
                <w:color w:val="00000A"/>
                <w:sz w:val="20"/>
                <w:szCs w:val="20"/>
              </w:rPr>
              <w:t xml:space="preserve"> pour tenter de dynamiser plus avant la mise en œuvre de ces mesures en faveur de l’emploi. </w:t>
              <w:br/>
              <w:t xml:space="preserve">Il convient toutefois de prendre en considération la hausse notable du taux de chômage dans le Doubs au premier trimestre 2021, supérieure à 8 points contre une moyenne régionale de 4,5 %, </w:t>
            </w:r>
            <w:r>
              <w:rPr>
                <w:rFonts w:eastAsia="Calibri" w:cs="" w:ascii="Marianne" w:hAnsi="Marianne" w:cstheme="minorBidi" w:eastAsiaTheme="minorHAnsi"/>
                <w:b w:val="false"/>
                <w:bCs w:val="false"/>
                <w:color w:val="00000A"/>
                <w:sz w:val="20"/>
                <w:szCs w:val="20"/>
              </w:rPr>
              <w:t>et particulièrement sectorisé sur certains bassins.</w:t>
            </w:r>
            <w:r>
              <w:rPr>
                <w:rFonts w:eastAsia="Calibri" w:cs="" w:ascii="Marianne" w:hAnsi="Marianne" w:cstheme="minorBidi" w:eastAsiaTheme="minorHAnsi"/>
                <w:b w:val="false"/>
                <w:bCs w:val="false"/>
                <w:color w:val="00000A"/>
                <w:sz w:val="20"/>
                <w:szCs w:val="20"/>
              </w:rPr>
              <w:br/>
              <w:t xml:space="preserve">La situation fragile de certains secteurs industriels </w:t>
            </w:r>
            <w:r>
              <w:rPr>
                <w:rFonts w:eastAsia="Calibri" w:cs="" w:ascii="Marianne" w:hAnsi="Marianne" w:cstheme="minorBidi" w:eastAsiaTheme="minorHAnsi"/>
                <w:b w:val="false"/>
                <w:bCs w:val="false"/>
                <w:color w:val="00000A"/>
                <w:sz w:val="20"/>
                <w:szCs w:val="20"/>
              </w:rPr>
              <w:t>a</w:t>
            </w:r>
            <w:r>
              <w:rPr>
                <w:rFonts w:eastAsia="Calibri" w:cs="" w:ascii="Marianne" w:hAnsi="Marianne" w:cstheme="minorBidi" w:eastAsiaTheme="minorHAnsi"/>
                <w:b w:val="false"/>
                <w:bCs w:val="false"/>
                <w:color w:val="00000A"/>
                <w:sz w:val="20"/>
                <w:szCs w:val="20"/>
              </w:rPr>
              <w:t xml:space="preserve"> tendu à une contraction de l’emploi, ce qui peut expliquer ces résultats mitigés, </w:t>
            </w:r>
            <w:r>
              <w:rPr>
                <w:rFonts w:eastAsia="Calibri" w:cs="" w:ascii="Marianne" w:hAnsi="Marianne" w:cstheme="minorBidi" w:eastAsiaTheme="minorHAnsi"/>
                <w:b w:val="false"/>
                <w:bCs w:val="false"/>
                <w:color w:val="00000A"/>
                <w:sz w:val="20"/>
                <w:szCs w:val="20"/>
              </w:rPr>
              <w:t>et potentiellement durables compte tenu des problématiques d’approvisionnement en matières premières mises en avant par certaines filières.</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38_3817296283"/>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3 855 (23%)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3 713 (23%)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3 511 (23%)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bookmarkEnd w:id="30"/>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16 780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16 121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14 948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40_3817296283"/>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66 (11%)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50 (11%)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29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bookmarkEnd w:id="32"/>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626 (3%)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461 (3%)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327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42_3817296283"/>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288 (19%)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267 (19%)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238 (18%)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bookmarkEnd w:id="34"/>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1 511 (3%)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1 389 (3%)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1 302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44_3817296283"/>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456 (18%)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386 (18%)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320 (18%)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bookmarkEnd w:id="36"/>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2 597 (3%)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2 140 (3%)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1 751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46_3817296283"/>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99 (13%)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85 (13%)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72 (14%)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bookmarkEnd w:id="38"/>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737 (5%)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636 (5%)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510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48_3817296283"/>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3 391 (22%)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3 004 (22%)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2 640 (22%)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bookmarkEnd w:id="40"/>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15 548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13 717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12 078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150_3817296283"/>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84 (17%)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74 (17%)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66 (17%)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bookmarkEnd w:id="42"/>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504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440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390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152_3817296283"/>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Doubs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832 (25%)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832 (25%)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759 (25%)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bookmarkEnd w:id="44"/>
            <w:r>
              <w:rPr>
                <w:rFonts w:ascii="Marianne" w:hAnsi="Marianne"/>
                <w:b/>
                <w:bCs/>
                <w:sz w:val="20"/>
                <w:szCs w:val="20"/>
              </w:rPr>
              <w:t>: Bourgogne-Franche-Comté</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3 332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3 332 (4%)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3 067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48" y="0"/>
              <wp:lineTo x="-648" y="20664"/>
              <wp:lineTo x="20555" y="20664"/>
              <wp:lineTo x="20555" y="0"/>
              <wp:lineTo x="-648"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98" y="0"/>
              <wp:lineTo x="-1298" y="19245"/>
              <wp:lineTo x="20049" y="19245"/>
              <wp:lineTo x="20049" y="0"/>
              <wp:lineTo x="-1298"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00000A"/>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00000A"/>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LibreOffice/5.4.7.2.M10$Windows_x86 LibreOffice_project/8dd9c36825e498b9b45c610823c1129a3ee183ba</Application>
  <Pages>26</Pages>
  <Words>3221</Words>
  <Characters>16148</Characters>
  <CharactersWithSpaces>19575</CharactersWithSpaces>
  <Paragraphs>696</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2021-07-16T11:10:00Z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