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5"/>
      </w:pPr>
      <w:r>
        <w:rPr>
          <w:rFonts w:ascii="Marianne" w:hAnsi="Marianne" w:cs="Arial"/>
          <w:b/>
          <w:bCs/>
          <w:sz w:val="56"/>
          <w:szCs w:val="56"/>
        </w:rPr>
        <w:t xml:space="preserve">SUIVI TERRITORIAL</w:t>
      </w:r>
      <w:r/>
    </w:p>
    <w:p>
      <w:pPr>
        <w:pStyle w:val="695"/>
      </w:pPr>
      <w:r>
        <w:rPr>
          <w:rFonts w:ascii="Marianne" w:hAnsi="Marianne" w:cs="Arial"/>
          <w:b/>
          <w:bCs/>
          <w:sz w:val="56"/>
          <w:szCs w:val="56"/>
        </w:rPr>
        <w:t xml:space="preserve">DU PLAN FRANCE RELANCE</w:t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5"/>
        <w:rPr>
          <w:rFonts w:ascii="Marianne" w:hAnsi="Marianne"/>
        </w:rPr>
      </w:pPr>
      <w:r>
        <w:rPr>
          <w:rFonts w:ascii="Marianne" w:hAnsi="Marianne" w:cs="Arial"/>
          <w:i/>
          <w:iCs/>
          <w:sz w:val="40"/>
          <w:szCs w:val="40"/>
        </w:rPr>
        <w:t xml:space="preserve">Données pour le département : Finistère</w:t>
      </w:r>
      <w:r/>
    </w:p>
    <w:p>
      <w:pPr>
        <w:pStyle w:val="695"/>
      </w:pPr>
      <w:r>
        <w:rPr>
          <w:rFonts w:ascii="Marianne" w:hAnsi="Marianne" w:cs="Arial"/>
          <w:i/>
          <w:iCs/>
          <w:sz w:val="40"/>
          <w:szCs w:val="40"/>
        </w:rPr>
        <w:t xml:space="preserve">Date : Mai 2021</w:t>
      </w:r>
      <w:r/>
    </w:p>
    <w:p>
      <w:pPr>
        <w:pStyle w:val="695"/>
        <w:rPr>
          <w:rFonts w:ascii="Marianne" w:hAnsi="Marianne" w:cs="Arial"/>
          <w:i/>
          <w:iCs/>
          <w:sz w:val="56"/>
          <w:szCs w:val="56"/>
        </w:rPr>
      </w:pPr>
      <w:r>
        <w:rPr>
          <w:rFonts w:ascii="Marianne" w:hAnsi="Marianne" w:cs="Arial"/>
          <w:i/>
          <w:iCs/>
          <w:sz w:val="56"/>
          <w:szCs w:val="56"/>
        </w:rPr>
      </w:r>
      <w:r/>
    </w:p>
    <w:p>
      <w:pPr>
        <w:pStyle w:val="738"/>
        <w:jc w:val="both"/>
      </w:pPr>
      <w:r>
        <w:rPr>
          <w:rFonts w:ascii="Marianne" w:hAnsi="Marianne"/>
          <w:sz w:val="22"/>
          <w:szCs w:val="22"/>
        </w:rPr>
        <w:t xml:space="preserve">Les portraits de la relance illustrent l’ancrage territorial du plan et les bénéfices générés localement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 xml:space="preserve">: cr</w:t>
      </w:r>
      <w:r>
        <w:rPr>
          <w:rFonts w:ascii="Marianne" w:hAnsi="Marianne" w:cs="Marianne"/>
          <w:sz w:val="22"/>
          <w:szCs w:val="22"/>
        </w:rPr>
        <w:t xml:space="preserve">é</w:t>
      </w:r>
      <w:r>
        <w:rPr>
          <w:rFonts w:ascii="Marianne" w:hAnsi="Marianne"/>
          <w:sz w:val="22"/>
          <w:szCs w:val="22"/>
        </w:rPr>
        <w:t xml:space="preserve">ations d’emploi, développement économique, amélioration de l’empreinte écologique…dans tous les départements de France.</w:t>
      </w:r>
      <w:r/>
    </w:p>
    <w:p>
      <w:pPr>
        <w:pStyle w:val="737"/>
        <w:jc w:val="both"/>
        <w:rPr>
          <w:i w:val="false"/>
          <w:iCs w:val="false"/>
          <w:sz w:val="22"/>
          <w:szCs w:val="22"/>
        </w:rPr>
      </w:pPr>
      <w:r>
        <w:rPr>
          <w:rFonts w:ascii="Marianne" w:hAnsi="Marianne" w:cs="Arial"/>
          <w:i w:val="false"/>
          <w:iCs w:val="false"/>
          <w:sz w:val="22"/>
          <w:szCs w:val="22"/>
        </w:rPr>
        <w:t xml:space="preserve"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ascii="Marianne" w:hAnsi="Marianne" w:cs="Calibri"/>
          <w:i w:val="false"/>
          <w:iCs w:val="false"/>
          <w:sz w:val="22"/>
          <w:szCs w:val="22"/>
        </w:rPr>
        <w:t xml:space="preserve"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/>
    </w:p>
    <w:p>
      <w:pPr>
        <w:pStyle w:val="740"/>
        <w:jc w:val="both"/>
      </w:pPr>
      <w:r/>
      <w:hyperlink r:id="rId12" w:tooltip="https://www.gouvernement.fr/portraits-de-la-relance" w:history="1">
        <w:r>
          <w:rPr>
            <w:rStyle w:val="709"/>
            <w:rFonts w:ascii="Marianne" w:hAnsi="Marianne" w:cs="Arial"/>
            <w:i/>
            <w:iCs/>
            <w:color w:val="00A65D"/>
            <w:sz w:val="22"/>
            <w:szCs w:val="22"/>
          </w:rPr>
          <w:t xml:space="preserve">Portraits de la relance</w:t>
        </w:r>
      </w:hyperlink>
      <w:r>
        <w:br w:type="page"/>
      </w:r>
      <w:r/>
    </w:p>
    <w:p>
      <w:pPr>
        <w:pStyle w:val="695"/>
        <w:rPr>
          <w:rFonts w:ascii="Marianne" w:hAnsi="Marianne"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  <w:r/>
    </w:p>
    <w:sdt>
      <w:sdtPr>
        <w15:appearance w15:val="boundingBox"/>
        <w:id w:val="445649061"/>
        <w:docPartObj>
          <w:docPartGallery w:val="Table of Contents"/>
          <w:docPartUnique w:val="true"/>
        </w:docPartObj>
        <w:rPr/>
      </w:sdtPr>
      <w:sdtContent>
        <w:p>
          <w:pPr>
            <w:pStyle w:val="736"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 xml:space="preserve">Table des matières</w:t>
          </w:r>
          <w:r/>
        </w:p>
        <w:p>
          <w:pPr>
            <w:pStyle w:val="741"/>
            <w:tabs>
              <w:tab w:val="right" w:pos="9356" w:leader="dot"/>
            </w:tabs>
          </w:pPr>
          <w:r>
            <w:fldChar w:fldCharType="begin"/>
          </w:r>
          <w:r>
            <w:rPr>
              <w:rStyle w:val="722"/>
            </w:rPr>
            <w:instrText xml:space="preserve"> TOC \z \o "1-3" \u \h</w:instrText>
          </w:r>
          <w:r>
            <w:rPr>
              <w:rStyle w:val="722"/>
            </w:rPr>
            <w:fldChar w:fldCharType="separate"/>
          </w:r>
          <w:hyperlink w:tooltip="#__RefHeading___Toc2084_2598522859" w:anchor="__RefHeading___Toc2084_2598522859" w:history="1">
            <w:r>
              <w:rPr>
                <w:rStyle w:val="722"/>
              </w:rPr>
              <w:t xml:space="preserve">Volet 1 : Ecologie</w:t>
              <w:tab/>
              <w:t xml:space="preserve">3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086_2598522859" w:anchor="__RefHeading___Toc2086_2598522859" w:history="1">
            <w:r>
              <w:rPr>
                <w:rStyle w:val="722"/>
              </w:rPr>
              <w:t xml:space="preserve">1 - Bonus écologique</w:t>
              <w:tab/>
              <w:t xml:space="preserve">4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088_2598522859" w:anchor="__RefHeading___Toc2088_2598522859" w:history="1">
            <w:r>
              <w:rPr>
                <w:rStyle w:val="722"/>
              </w:rPr>
              <w:t xml:space="preserve">2 - MaPrimeRénov'</w:t>
              <w:tab/>
              <w:t xml:space="preserve">5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090_2598522859" w:anchor="__RefHeading___Toc2090_2598522859" w:history="1">
            <w:r>
              <w:rPr>
                <w:rStyle w:val="722"/>
              </w:rPr>
              <w:t xml:space="preserve">3 - Modernisation des filières automobiles et aéronautiques</w:t>
              <w:tab/>
              <w:t xml:space="preserve">6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092_2598522859" w:anchor="__RefHeading___Toc2092_2598522859" w:history="1">
            <w:r>
              <w:rPr>
                <w:rStyle w:val="722"/>
              </w:rPr>
              <w:t xml:space="preserve">4 - Prime à la conversion des agroéquipements</w:t>
              <w:tab/>
              <w:t xml:space="preserve">7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094_2598522859" w:anchor="__RefHeading___Toc2094_2598522859" w:history="1">
            <w:r>
              <w:rPr>
                <w:rStyle w:val="722"/>
              </w:rPr>
              <w:t xml:space="preserve">5 - Prime à la conversion des véhicules légers</w:t>
              <w:tab/>
              <w:t xml:space="preserve">8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096_2598522859" w:anchor="__RefHeading___Toc2096_2598522859" w:history="1">
            <w:r>
              <w:rPr>
                <w:rStyle w:val="722"/>
              </w:rPr>
              <w:t xml:space="preserve">6 - Réhabilitation Friches (urbaines et sites pollués)</w:t>
              <w:tab/>
              <w:t xml:space="preserve">9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098_2598522859" w:anchor="__RefHeading___Toc2098_2598522859" w:history="1">
            <w:r>
              <w:rPr>
                <w:rStyle w:val="722"/>
              </w:rPr>
              <w:t xml:space="preserve">7 - Rénovation bâtiments Etat</w:t>
              <w:tab/>
              <w:t xml:space="preserve">10</w:t>
            </w:r>
          </w:hyperlink>
          <w:r/>
          <w:r/>
        </w:p>
        <w:p>
          <w:pPr>
            <w:pStyle w:val="741"/>
            <w:tabs>
              <w:tab w:val="right" w:pos="9356" w:leader="dot"/>
            </w:tabs>
          </w:pPr>
          <w:r/>
          <w:hyperlink w:tooltip="#__RefHeading___Toc2100_2598522859" w:anchor="__RefHeading___Toc2100_2598522859" w:history="1">
            <w:r>
              <w:rPr>
                <w:rStyle w:val="722"/>
              </w:rPr>
              <w:t xml:space="preserve">Volet 2 : Compétitivité</w:t>
              <w:tab/>
              <w:t xml:space="preserve">11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02_2598522859" w:anchor="__RefHeading___Toc2102_2598522859" w:history="1">
            <w:r>
              <w:rPr>
                <w:rStyle w:val="722"/>
              </w:rPr>
              <w:t xml:space="preserve">8 - AAP Industrie : Soutien aux projets industriels territoires</w:t>
              <w:tab/>
              <w:t xml:space="preserve">12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04_2598522859" w:anchor="__RefHeading___Toc2104_2598522859" w:history="1">
            <w:r>
              <w:rPr>
                <w:rStyle w:val="722"/>
              </w:rPr>
              <w:t xml:space="preserve">9 - AAP Industrie : Sécurisation approvisionnements critiques</w:t>
              <w:tab/>
              <w:t xml:space="preserve">13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06_2598522859" w:anchor="__RefHeading___Toc2106_2598522859" w:history="1">
            <w:r>
              <w:rPr>
                <w:rStyle w:val="722"/>
              </w:rPr>
              <w:t xml:space="preserve">10 - France Num : aide à la numérisation des TPE,PME,ETI</w:t>
              <w:tab/>
              <w:t xml:space="preserve">14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08_2598522859" w:anchor="__RefHeading___Toc2108_2598522859" w:history="1">
            <w:r>
              <w:rPr>
                <w:rStyle w:val="722"/>
              </w:rPr>
              <w:t xml:space="preserve">11 - Industrie du futur</w:t>
              <w:tab/>
              <w:t xml:space="preserve">15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10_2598522859" w:anchor="__RefHeading___Toc2110_2598522859" w:history="1">
            <w:r>
              <w:rPr>
                <w:rStyle w:val="722"/>
              </w:rPr>
              <w:t xml:space="preserve">12 - Renforcement subventions Business France</w:t>
              <w:tab/>
              <w:t xml:space="preserve">16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12_2598522859" w:anchor="__RefHeading___Toc2112_2598522859" w:history="1">
            <w:r>
              <w:rPr>
                <w:rStyle w:val="722"/>
              </w:rPr>
              <w:t xml:space="preserve">13 - Soutien aux filières culturelles (cinéma, audiovisuel, musique, numérique, livre)</w:t>
              <w:tab/>
              <w:t xml:space="preserve">17</w:t>
            </w:r>
          </w:hyperlink>
          <w:r/>
          <w:r/>
        </w:p>
        <w:p>
          <w:pPr>
            <w:pStyle w:val="741"/>
            <w:tabs>
              <w:tab w:val="right" w:pos="9356" w:leader="dot"/>
            </w:tabs>
          </w:pPr>
          <w:r/>
          <w:hyperlink w:tooltip="#__RefHeading___Toc2114_2598522859" w:anchor="__RefHeading___Toc2114_2598522859" w:history="1">
            <w:r>
              <w:rPr>
                <w:rStyle w:val="722"/>
              </w:rPr>
              <w:t xml:space="preserve">Volet 3 : Cohésion</w:t>
              <w:tab/>
              <w:t xml:space="preserve">18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16_2598522859" w:anchor="__RefHeading___Toc2116_2598522859" w:history="1">
            <w:r>
              <w:rPr>
                <w:rStyle w:val="722"/>
              </w:rPr>
              <w:t xml:space="preserve">14 - Apprentissage</w:t>
              <w:tab/>
              <w:t xml:space="preserve">19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18_2598522859" w:anchor="__RefHeading___Toc2118_2598522859" w:history="1">
            <w:r>
              <w:rPr>
                <w:rStyle w:val="722"/>
              </w:rPr>
              <w:t xml:space="preserve">15 - Contrats Initiatives Emploi (CIE) Jeunes</w:t>
              <w:tab/>
              <w:t xml:space="preserve">20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20_2598522859" w:anchor="__RefHeading___Toc2120_2598522859" w:history="1">
            <w:r>
              <w:rPr>
                <w:rStyle w:val="722"/>
              </w:rPr>
              <w:t xml:space="preserve">16 - Contrats de professionnalisation</w:t>
              <w:tab/>
              <w:t xml:space="preserve">21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22_2598522859" w:anchor="__RefHeading___Toc2122_2598522859" w:history="1">
            <w:r>
              <w:rPr>
                <w:rStyle w:val="722"/>
              </w:rPr>
              <w:t xml:space="preserve">17 - Garantie jeunes</w:t>
              <w:tab/>
              <w:t xml:space="preserve">22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24_2598522859" w:anchor="__RefHeading___Toc2124_2598522859" w:history="1">
            <w:r>
              <w:rPr>
                <w:rStyle w:val="722"/>
              </w:rPr>
              <w:t xml:space="preserve">18 - Parcours emploi compétences (PEC) Jeunes</w:t>
              <w:tab/>
              <w:t xml:space="preserve">23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26_2598522859" w:anchor="__RefHeading___Toc2126_2598522859" w:history="1">
            <w:r>
              <w:rPr>
                <w:rStyle w:val="722"/>
              </w:rPr>
              <w:t xml:space="preserve">19 - Prime à l'embauche des jeunes</w:t>
              <w:tab/>
              <w:t xml:space="preserve">24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28_2598522859" w:anchor="__RefHeading___Toc2128_2598522859" w:history="1">
            <w:r>
              <w:rPr>
                <w:rStyle w:val="722"/>
              </w:rPr>
              <w:t xml:space="preserve">20 - Prime à l'embauche pour les travailleurs handicapés</w:t>
              <w:tab/>
              <w:t xml:space="preserve">25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30_2598522859" w:anchor="__RefHeading___Toc2130_2598522859" w:history="1">
            <w:r>
              <w:rPr>
                <w:rStyle w:val="722"/>
              </w:rPr>
              <w:t xml:space="preserve">21 - Service civique</w:t>
              <w:tab/>
              <w:t xml:space="preserve">26</w:t>
            </w:r>
          </w:hyperlink>
          <w:r/>
          <w:r/>
        </w:p>
      </w:sdtContent>
    </w:sdt>
    <w:p>
      <w:pPr>
        <w:pStyle w:val="740"/>
      </w:pPr>
      <w:r/>
      <w:r>
        <w:fldChar w:fldCharType="end"/>
      </w:r>
      <w:r>
        <w:br w:type="page"/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7"/>
        <w:numPr>
          <w:ilvl w:val="1"/>
          <w:numId w:val="2"/>
        </w:numPr>
        <w:rPr>
          <w:sz w:val="44"/>
          <w:szCs w:val="44"/>
        </w:rPr>
      </w:pPr>
      <w:r/>
      <w:bookmarkStart w:id="0" w:name="__RefHeading___Toc2084_2598522859"/>
      <w:r/>
      <w:bookmarkEnd w:id="0"/>
      <w:r>
        <w:rPr>
          <w:rFonts w:ascii="Marianne" w:hAnsi="Marianne"/>
          <w:sz w:val="48"/>
          <w:szCs w:val="48"/>
        </w:rPr>
        <w:t xml:space="preserve">Volet 1 : Ecologie</w:t>
      </w:r>
      <w:r/>
    </w:p>
    <w:tbl>
      <w:tblPr>
        <w:tblW w:w="9072" w:type="dxa"/>
        <w:tblInd w:w="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072"/>
      </w:tblGrid>
      <w:tr>
        <w:trPr>
          <w:trHeight w:val="8055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072" w:type="dxa"/>
            <w:textDirection w:val="lrTb"/>
            <w:noWrap w:val="false"/>
          </w:tcPr>
          <w:p>
            <w:pPr>
              <w:pStyle w:val="739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  <w:r/>
          </w:p>
          <w:p>
            <w:pPr>
              <w:pStyle w:val="739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 Le volet écologie connait un fort succès sur le département de part l’implication de l’ensemble des acteurs en liens avec ce volet, collectivités territoriales, services instructeurs, entreprises privées, etc.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3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" w:name="__RefHeading___Toc2086_2598522859"/>
      <w:r/>
      <w:bookmarkEnd w:id="1"/>
      <w:r>
        <w:rPr>
          <w:rFonts w:ascii="Marianne" w:hAnsi="Marianne" w:cs="Marianne"/>
          <w:color w:val="00A65D"/>
          <w:sz w:val="40"/>
          <w:szCs w:val="40"/>
        </w:rPr>
        <w:t xml:space="preserve">1 - </w:t>
      </w:r>
      <w:hyperlink r:id="rId13" w:tooltip="https://www.economie.gouv.fr/plan-de-relance/profils/entreprises/bonus-ecologique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Bonus écologique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2 138 (27%)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1 925 (27%)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1 695 (27%)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7 894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7 084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6 167 (5%)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174 963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155 933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135 576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4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" w:name="__RefHeading___Toc2088_2598522859"/>
      <w:r/>
      <w:bookmarkEnd w:id="3"/>
      <w:r>
        <w:rPr>
          <w:rFonts w:ascii="Marianne" w:hAnsi="Marianne" w:cs="Marianne"/>
          <w:color w:val="00A65D"/>
          <w:sz w:val="40"/>
          <w:szCs w:val="40"/>
        </w:rPr>
        <w:t xml:space="preserve">2 - </w:t>
      </w:r>
      <w:hyperlink r:id="rId14" w:tooltip="https://www.economie.gouv.fr/plan-de-relance/profils/particuliers/maprimerenov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MaPrimeRénov'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32"/>
        <w:gridCol w:w="238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238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443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5 692 (33%)  </w:t>
            </w:r>
            <w:r/>
          </w:p>
        </w:tc>
        <w:tc>
          <w:tcPr>
            <w:shd w:val="clear" w:fill="FFFFFF" w:color="FFFFFF"/>
            <w:tcW w:w="238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80.9 M€ (31%)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443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4 487 (34%)  </w:t>
            </w:r>
            <w:r/>
          </w:p>
        </w:tc>
        <w:tc>
          <w:tcPr>
            <w:shd w:val="clear" w:fill="FFFFFF" w:color="FFFFFF"/>
            <w:tcW w:w="238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68.8 M€ (31%)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443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3 050 (34%)  </w:t>
            </w:r>
            <w:r/>
          </w:p>
        </w:tc>
        <w:tc>
          <w:tcPr>
            <w:shd w:val="clear" w:fill="FFFFFF" w:color="FFFFFF"/>
            <w:tcW w:w="238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56.7 M€ (31%)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42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444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17 027 (8%)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259.7 M€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444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13 314 (8%)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221.3 M€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444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9 090 (8%)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184.7 M€ (7%)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95"/>
        <w:gridCol w:w="4446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259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6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259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4446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226 749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3844.0 M€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259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4446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173 481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3254.2 M€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259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4446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116 718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2695.0 M€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5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5" w:name="__RefHeading___Toc2090_2598522859"/>
      <w:r/>
      <w:bookmarkEnd w:id="5"/>
      <w:r>
        <w:rPr>
          <w:rFonts w:ascii="Marianne" w:hAnsi="Marianne" w:cs="Marianne"/>
          <w:color w:val="00A65D"/>
          <w:sz w:val="40"/>
          <w:szCs w:val="40"/>
        </w:rPr>
        <w:t xml:space="preserve">3 - </w:t>
      </w:r>
      <w:hyperlink r:id="rId15" w:tooltip="https://www.entreprises.gouv.fr/fr/actualites/industrie/fonds-de-soutien-aux-filieres-automobile-et-aeronautique-205-nouveaux-laureats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Modernisation des filières automobiles et aéronautiques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(21%)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(21%)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(20%)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19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19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15 (3%)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531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6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7" w:name="__RefHeading___Toc2092_2598522859"/>
      <w:r/>
      <w:bookmarkEnd w:id="7"/>
      <w:r>
        <w:rPr>
          <w:rFonts w:ascii="Marianne" w:hAnsi="Marianne" w:cs="Marianne"/>
          <w:color w:val="00A65D"/>
          <w:sz w:val="40"/>
          <w:szCs w:val="40"/>
        </w:rPr>
        <w:t xml:space="preserve">4 - </w:t>
      </w:r>
      <w:hyperlink r:id="rId16" w:tooltip="https://www.economie.gouv.fr/plan-de-relance/profils/entreprises/prime-conversion-soutien-aquisition-agro-equipements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la conversion des agroéquipements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70 (25%)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70 (25%)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284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284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8 277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8 277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7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9" w:name="__RefHeading___Toc2094_2598522859"/>
      <w:r/>
      <w:bookmarkEnd w:id="9"/>
      <w:r>
        <w:rPr>
          <w:rFonts w:ascii="Marianne" w:hAnsi="Marianne" w:cs="Marianne"/>
          <w:color w:val="00A65D"/>
          <w:sz w:val="40"/>
          <w:szCs w:val="40"/>
        </w:rPr>
        <w:t xml:space="preserve">5 - </w:t>
      </w:r>
      <w:hyperlink r:id="rId17" w:tooltip="https://www.ecologie.gouv.fr/france-relance-bonus-ecologique-et-prime-conversion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la conversion des véhicules légers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3 001 (28%)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2 865 (28%)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2 718 (28%)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10 596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10 141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9 620 (6%)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188 317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179 763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170 873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8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1" w:name="__RefHeading___Toc2096_2598522859"/>
      <w:r/>
      <w:bookmarkEnd w:id="11"/>
      <w:r>
        <w:rPr>
          <w:rFonts w:ascii="Marianne" w:hAnsi="Marianne" w:cs="Marianne"/>
          <w:color w:val="00A65D"/>
          <w:sz w:val="40"/>
          <w:szCs w:val="40"/>
        </w:rPr>
        <w:t xml:space="preserve">6 - </w:t>
      </w:r>
      <w:hyperlink r:id="rId18" w:tooltip="https://www.economie.gouv.fr/plan-de-relance/profils/entreprises/fonds-recyclage-friches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Réhabilitation Friches (urbaines et sites pollués)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9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3" w:name="__RefHeading___Toc2098_2598522859"/>
      <w:r/>
      <w:bookmarkEnd w:id="13"/>
      <w:r>
        <w:rPr>
          <w:rFonts w:ascii="Marianne" w:hAnsi="Marianne" w:cs="Marianne"/>
          <w:color w:val="00A65D"/>
          <w:sz w:val="40"/>
          <w:szCs w:val="40"/>
        </w:rPr>
        <w:t xml:space="preserve">7 - </w:t>
      </w:r>
      <w:hyperlink r:id="rId19" w:tooltip="https://www.economie.gouv.fr/plan-de-relance/profils/administrations/renovation-energetique-batiments-publics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Rénovation bâtiments Etat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48 (47%)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39 (54%)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 (28%)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102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72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18 (3%)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1 420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995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587  </w:t>
            </w:r>
            <w:r/>
          </w:p>
        </w:tc>
      </w:tr>
    </w:tbl>
    <w:p>
      <w:pPr>
        <w:pStyle w:val="695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734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739"/>
              <w:jc w:val="left"/>
              <w:spacing w:lineRule="auto" w:line="240" w:after="0" w:before="0"/>
            </w:pPr>
            <w:r/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7"/>
        <w:numPr>
          <w:ilvl w:val="1"/>
          <w:numId w:val="10"/>
        </w:numPr>
        <w:rPr>
          <w:sz w:val="44"/>
          <w:szCs w:val="44"/>
        </w:rPr>
      </w:pPr>
      <w:r/>
      <w:bookmarkStart w:id="15" w:name="__RefHeading___Toc2100_2598522859"/>
      <w:r/>
      <w:bookmarkEnd w:id="15"/>
      <w:r>
        <w:rPr>
          <w:rFonts w:ascii="Marianne" w:hAnsi="Marianne"/>
          <w:sz w:val="48"/>
          <w:szCs w:val="48"/>
        </w:rPr>
        <w:t xml:space="preserve">Volet 2 : Compétitivité</w:t>
      </w:r>
      <w:r/>
    </w:p>
    <w:tbl>
      <w:tblPr>
        <w:tblW w:w="9072" w:type="dxa"/>
        <w:tblInd w:w="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072"/>
      </w:tblGrid>
      <w:tr>
        <w:trPr>
          <w:trHeight w:val="8055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072" w:type="dxa"/>
            <w:textDirection w:val="lrTb"/>
            <w:noWrap w:val="false"/>
          </w:tcPr>
          <w:p>
            <w:pPr>
              <w:pStyle w:val="739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  <w:r/>
          </w:p>
          <w:p>
            <w:pPr>
              <w:pStyle w:val="739"/>
              <w:jc w:val="left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  <w:highlight w:val="no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Les entreprises lauréates ont presque toutes été informées de l’obtention d’un financement dans le cadre du guichet d’industrie du futur.</w:t>
            </w:r>
            <w:r/>
          </w:p>
          <w:p>
            <w:pPr>
              <w:pStyle w:val="739"/>
              <w:jc w:val="left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  <w:highlight w:val="no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  <w:t xml:space="preserve">Elles seront également informées des entreprises retenues dans le cadre de la second édition de ce guichet ouvert 8 jours en mai 2021.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</w:p>
          <w:p>
            <w:pPr>
              <w:pStyle w:val="739"/>
              <w:jc w:val="left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  <w:highlight w:val="none"/>
              </w:rPr>
            </w:pPr>
            <w:r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  <w:highlight w:val="none"/>
              </w:rPr>
              <w:t xml:space="preserve">Par ailleurs, les dispositifs de territoires d’industrie ont également permis de relancer et de redynamiser le tissus industriel finistérien.</w:t>
            </w:r>
            <w:r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  <w:highlight w:val="none"/>
              </w:rPr>
            </w:r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1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6" w:name="__RefHeading___Toc2102_2598522859"/>
      <w:r/>
      <w:bookmarkEnd w:id="16"/>
      <w:r>
        <w:rPr>
          <w:rFonts w:ascii="Marianne" w:hAnsi="Marianne" w:cs="Marianne"/>
          <w:color w:val="00A65D"/>
          <w:sz w:val="40"/>
          <w:szCs w:val="40"/>
        </w:rPr>
        <w:t xml:space="preserve">8 - </w:t>
      </w:r>
      <w:hyperlink r:id="rId20" w:tooltip="https://www.entreprises.gouv.fr/fr/industrie/politique-industrielle/territoires-d-industrie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AAP Industrie : Soutien aux projets industriels territoires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18 (32%)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 (29%)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(23%)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57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52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43 (7%)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863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727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625  </w:t>
            </w:r>
            <w:r/>
          </w:p>
        </w:tc>
      </w:tr>
    </w:tbl>
    <w:p>
      <w:pPr>
        <w:pStyle w:val="695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734"/>
              <w:spacing w:lineRule="auto" w:line="240"/>
              <w:rPr>
                <w:rFonts w:ascii="Marianne" w:hAnsi="Marianne"/>
                <w:b/>
                <w:sz w:val="20"/>
                <w:szCs w:val="20"/>
                <w:highlight w:val="none"/>
              </w:rPr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734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  <w:highlight w:val="none"/>
              </w:rPr>
              <w:t xml:space="preserve">Les Oeufs KERHOAS (2 salariés)  pour l’achat de leur matériel automatique de sélection des oeufs coquille.</w:t>
            </w:r>
            <w:r>
              <w:rPr>
                <w:rFonts w:ascii="Marianne" w:hAnsi="Marianne"/>
                <w:b/>
                <w:bCs/>
                <w:sz w:val="20"/>
                <w:szCs w:val="20"/>
                <w:highlight w:val="none"/>
              </w:rPr>
            </w:r>
          </w:p>
          <w:p>
            <w:pPr>
              <w:pStyle w:val="739"/>
              <w:jc w:val="left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2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8" w:name="__RefHeading___Toc2104_2598522859"/>
      <w:r/>
      <w:bookmarkEnd w:id="18"/>
      <w:r>
        <w:rPr>
          <w:rFonts w:ascii="Marianne" w:hAnsi="Marianne" w:cs="Marianne"/>
          <w:color w:val="00A65D"/>
          <w:sz w:val="40"/>
          <w:szCs w:val="40"/>
        </w:rPr>
        <w:t xml:space="preserve">9 - </w:t>
      </w:r>
      <w:hyperlink r:id="rId21" w:tooltip="https://www.bpifrance.fr/A-la-une/Appels-a-projets-concours/Appel-a-projets-Plan-de-relance-pour-l-industrie-Secteurs-strategiques-volet-national-50697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AAP Industrie : Sécurisation approvisionnements critiques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(12%)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(12%)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(13%)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16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16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15 (5%)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309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309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281  </w:t>
            </w:r>
            <w:r/>
          </w:p>
        </w:tc>
      </w:tr>
    </w:tbl>
    <w:p>
      <w:pPr>
        <w:pStyle w:val="695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734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739"/>
              <w:jc w:val="left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Ce dispositif a permis à des constructeurs de matériel électronique de bénéficier d’un accompagnement (GTID) à Brest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3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0" w:name="__RefHeading___Toc2106_2598522859"/>
      <w:r/>
      <w:bookmarkEnd w:id="20"/>
      <w:r>
        <w:rPr>
          <w:rFonts w:ascii="Marianne" w:hAnsi="Marianne" w:cs="Marianne"/>
          <w:color w:val="00A65D"/>
          <w:sz w:val="40"/>
          <w:szCs w:val="40"/>
        </w:rPr>
        <w:t xml:space="preserve">10 - </w:t>
      </w:r>
      <w:hyperlink r:id="rId22" w:tooltip="https://www.economie.gouv.fr/plan-de-relance/profils/entreprises/aides-francenum-transformation-numerique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France Num : aide à la numérisation des TPE,PME,ETI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783 (26%)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604 (26%)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449 (28%)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1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2 964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2 299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1 624 (6%)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50 848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39 192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27 864  </w:t>
            </w:r>
            <w:r/>
          </w:p>
        </w:tc>
      </w:tr>
    </w:tbl>
    <w:p>
      <w:pPr>
        <w:pStyle w:val="695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734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739"/>
              <w:jc w:val="left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 Les TPE ont été accompagnées allant du point presse au salon de soin esthétique, etc.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4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2" w:name="__RefHeading___Toc2108_2598522859"/>
      <w:r/>
      <w:bookmarkEnd w:id="22"/>
      <w:r>
        <w:rPr>
          <w:rFonts w:ascii="Marianne" w:hAnsi="Marianne" w:cs="Marianne"/>
          <w:color w:val="00A65D"/>
          <w:sz w:val="40"/>
          <w:szCs w:val="40"/>
        </w:rPr>
        <w:t xml:space="preserve">11 - </w:t>
      </w:r>
      <w:hyperlink r:id="rId23" w:tooltip="https://www.economie.gouv.fr/plan-de-relance/profils/entreprises/aide-investissement-industrie-du-futur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Industrie du futur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26 (25%)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(20%)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 (23%)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3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105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40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22 (3%)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2 403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1 007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705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5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4" w:name="__RefHeading___Toc2110_2598522859"/>
      <w:r/>
      <w:bookmarkEnd w:id="24"/>
      <w:r>
        <w:rPr>
          <w:rFonts w:ascii="Marianne" w:hAnsi="Marianne" w:cs="Marianne"/>
          <w:color w:val="00A65D"/>
          <w:sz w:val="40"/>
          <w:szCs w:val="40"/>
        </w:rPr>
        <w:t xml:space="preserve">12 - </w:t>
      </w:r>
      <w:hyperlink r:id="rId24" w:tooltip="https://www.economie.gouv.fr/files/files/directions_services/plan-de-relance/Guide-mesures-relance-exportations.pdf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Renforcement subventions Business France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26 (23%)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24 (25%)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20 (26%)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5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115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97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78 (4%)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3 184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2 651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2 145  </w:t>
            </w:r>
            <w:r/>
          </w:p>
        </w:tc>
      </w:tr>
    </w:tbl>
    <w:p>
      <w:pPr>
        <w:pStyle w:val="695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734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739"/>
              <w:jc w:val="left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De plus en plus d’entreprises s’approprient ces dispositifs.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6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6" w:name="__RefHeading___Toc2112_2598522859"/>
      <w:r/>
      <w:bookmarkEnd w:id="26"/>
      <w:r>
        <w:rPr>
          <w:rFonts w:ascii="Marianne" w:hAnsi="Marianne" w:cs="Marianne"/>
          <w:color w:val="00A65D"/>
          <w:sz w:val="40"/>
          <w:szCs w:val="40"/>
        </w:rPr>
        <w:t xml:space="preserve">13 - </w:t>
      </w:r>
      <w:hyperlink r:id="rId25" w:tooltip="https://www.economie.gouv.fr/files/files/directions_services/plan-de-relance/Guide-mesures-relance-exportations.pdf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Soutien aux filières culturelles (cinéma, audiovisuel, musique, numérique, livre)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69 (26%)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66 (25%)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269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260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4 041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3 876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7"/>
        <w:numPr>
          <w:ilvl w:val="1"/>
          <w:numId w:val="17"/>
        </w:numPr>
        <w:rPr>
          <w:sz w:val="44"/>
          <w:szCs w:val="44"/>
        </w:rPr>
      </w:pPr>
      <w:r/>
      <w:bookmarkStart w:id="28" w:name="__RefHeading___Toc2114_2598522859"/>
      <w:r/>
      <w:bookmarkEnd w:id="28"/>
      <w:r>
        <w:rPr>
          <w:rFonts w:ascii="Marianne" w:hAnsi="Marianne"/>
          <w:sz w:val="48"/>
          <w:szCs w:val="48"/>
        </w:rPr>
        <w:t xml:space="preserve">Volet 3 : Cohésion</w:t>
      </w:r>
      <w:r/>
    </w:p>
    <w:tbl>
      <w:tblPr>
        <w:tblW w:w="9072" w:type="dxa"/>
        <w:tblInd w:w="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072"/>
      </w:tblGrid>
      <w:tr>
        <w:trPr>
          <w:trHeight w:val="8055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072" w:type="dxa"/>
            <w:textDirection w:val="lrTb"/>
            <w:noWrap w:val="false"/>
          </w:tcPr>
          <w:p>
            <w:pPr>
              <w:pStyle w:val="739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  <w:r/>
          </w:p>
          <w:p>
            <w:pPr>
              <w:pStyle w:val="739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Le suivi du volet cohésion est assuré par de nombreuses campagnes de communication au niveau départemental.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8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9" w:name="__RefHeading___Toc2116_2598522859"/>
      <w:r/>
      <w:bookmarkEnd w:id="29"/>
      <w:r>
        <w:rPr>
          <w:rFonts w:ascii="Marianne" w:hAnsi="Marianne" w:cs="Marianne"/>
          <w:color w:val="00A65D"/>
          <w:sz w:val="40"/>
          <w:szCs w:val="40"/>
        </w:rPr>
        <w:t xml:space="preserve">14 - </w:t>
      </w:r>
      <w:hyperlink r:id="rId26" w:tooltip="https://travail-emploi.gouv.fr/demarches-ressources-documentaires/documentation-et-publications-officielles/guides/article/plan-de-relance-de-l-apprentissage-guide-pratique-pour-les-entreprises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Apprentissage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5 775 (25%)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5 445 (25%)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5 078 (25%)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23 343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22 037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20 535 (5%)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463 014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431 880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396 156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9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1" w:name="__RefHeading___Toc2118_2598522859"/>
      <w:r/>
      <w:bookmarkEnd w:id="31"/>
      <w:r>
        <w:rPr>
          <w:rFonts w:ascii="Marianne" w:hAnsi="Marianne" w:cs="Marianne"/>
          <w:color w:val="00A65D"/>
          <w:sz w:val="40"/>
          <w:szCs w:val="40"/>
        </w:rPr>
        <w:t xml:space="preserve">15 - </w:t>
      </w:r>
      <w:hyperlink r:id="rId27" w:tooltip="https://www.economie.gouv.fr/plan-de-relance/profils/entreprises/aide-embauche-jeune-contrat-initiative-emploi-cie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Contrats Initiatives Emploi (CIE) Jeunes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236 (23%)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197 (24%)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157 (25%)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1 030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827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635 (6%)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19 500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14 442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10 146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20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3" w:name="__RefHeading___Toc2120_2598522859"/>
      <w:r/>
      <w:bookmarkEnd w:id="33"/>
      <w:r>
        <w:rPr>
          <w:rFonts w:ascii="Marianne" w:hAnsi="Marianne" w:cs="Marianne"/>
          <w:color w:val="00A65D"/>
          <w:sz w:val="40"/>
          <w:szCs w:val="40"/>
        </w:rPr>
        <w:t xml:space="preserve">16 - </w:t>
      </w:r>
      <w:hyperlink r:id="rId28" w:tooltip="https://travail-emploi.gouv.fr/formation-professionnelle/entreprise-et-alternance/aide-exceptionnelle-contrat-pro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Contrats de professionnalisation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414 (21%)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386 (22%)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366 (23%)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1 936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1 723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1 593 (4%)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47 767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42 619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38 193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21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5" w:name="__RefHeading___Toc2122_2598522859"/>
      <w:r/>
      <w:bookmarkEnd w:id="35"/>
      <w:r>
        <w:rPr>
          <w:rFonts w:ascii="Marianne" w:hAnsi="Marianne" w:cs="Marianne"/>
          <w:color w:val="00A65D"/>
          <w:sz w:val="40"/>
          <w:szCs w:val="40"/>
        </w:rPr>
        <w:t xml:space="preserve">17 - </w:t>
      </w:r>
      <w:hyperlink r:id="rId29" w:tooltip="https://travail-emploi.gouv.fr/emploi/mesures-jeunes/garantiejeunes/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Garantie jeunes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701 (27%)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564 (29%)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460 (30%)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2 559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1 975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1 533 (3%)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84 019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68 312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55 933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22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7" w:name="__RefHeading___Toc2124_2598522859"/>
      <w:r/>
      <w:bookmarkEnd w:id="37"/>
      <w:r>
        <w:rPr>
          <w:rFonts w:ascii="Marianne" w:hAnsi="Marianne" w:cs="Marianne"/>
          <w:color w:val="00A65D"/>
          <w:sz w:val="40"/>
          <w:szCs w:val="40"/>
        </w:rPr>
        <w:t xml:space="preserve">18 - </w:t>
      </w:r>
      <w:hyperlink r:id="rId30" w:tooltip="https://www.economie.gouv.fr/plan-de-relance/insertion-personnes-eloignees-emploi-pec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Parcours emploi compétences (PEC) Jeunes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125 (24%)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113 (25%)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102 (27%)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512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449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373 (3%)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15 460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13 437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11 369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23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9" w:name="__RefHeading___Toc2126_2598522859"/>
      <w:r/>
      <w:bookmarkEnd w:id="39"/>
      <w:r>
        <w:rPr>
          <w:rFonts w:ascii="Marianne" w:hAnsi="Marianne" w:cs="Marianne"/>
          <w:color w:val="00A65D"/>
          <w:sz w:val="40"/>
          <w:szCs w:val="40"/>
        </w:rPr>
        <w:t xml:space="preserve">19 - </w:t>
      </w:r>
      <w:hyperlink r:id="rId31" w:tooltip="https://www.economie.gouv.fr/plan-de-relance/profils/entreprises/aide-embauche-jeunes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l'embauche des jeunes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5 546 (24%)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4 690 (23%)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4 185 (23%)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23 518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20 149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17 898 (6%)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372 083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320 336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275 602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24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41" w:name="__RefHeading___Toc2128_2598522859"/>
      <w:r/>
      <w:bookmarkEnd w:id="41"/>
      <w:r>
        <w:rPr>
          <w:rFonts w:ascii="Marianne" w:hAnsi="Marianne" w:cs="Marianne"/>
          <w:color w:val="00A65D"/>
          <w:sz w:val="40"/>
          <w:szCs w:val="40"/>
        </w:rPr>
        <w:t xml:space="preserve">20 - </w:t>
      </w:r>
      <w:hyperlink r:id="rId32" w:tooltip="https://www.economie.gouv.fr/entreprises/aide-mobilisation-employeurs-embauche-travailleurs-handicapes-plan-relance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l'embauche pour les travailleurs handicapés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226 (26%)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179 (25%)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145 (24%)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873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706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598 (7%)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12 099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10 042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8 497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25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43" w:name="__RefHeading___Toc2130_2598522859"/>
      <w:r/>
      <w:bookmarkEnd w:id="43"/>
      <w:r>
        <w:rPr>
          <w:rFonts w:ascii="Marianne" w:hAnsi="Marianne" w:cs="Marianne"/>
          <w:color w:val="00A65D"/>
          <w:sz w:val="40"/>
          <w:szCs w:val="40"/>
        </w:rPr>
        <w:t xml:space="preserve">21 - </w:t>
      </w:r>
      <w:hyperlink r:id="rId33" w:tooltip="https://www.economie.gouv.fr/plan-de-relance/profils/administrations/financement-nouvelles-missions-service-civique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Service civique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679 (24%)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679 (24%)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628 (25%)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2 775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2 775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2 537 (4%)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79 626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79 626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71 751  </w:t>
            </w:r>
            <w:r/>
          </w:p>
        </w:tc>
      </w:tr>
    </w:tbl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17" w:right="1406" w:bottom="1417" w:left="1144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noto sans cjk sc">
    <w:panose1 w:val="020B0603030804020204"/>
  </w:font>
  <w:font w:name="Marianne">
    <w:panose1 w:val="02000000000000000000"/>
  </w:font>
  <w:font w:name="Times New Roman">
    <w:panose1 w:val="02020603050405020304"/>
  </w:font>
  <w:font w:name="Lohit Devanagari">
    <w:panose1 w:val="020B0600000000000000"/>
  </w:font>
  <w:font w:name="Courier New">
    <w:panose1 w:val="02070309020205020404"/>
  </w:font>
  <w:font w:name="Calibri Light">
    <w:panose1 w:val="020F0502020204030204"/>
  </w:font>
  <w:font w:name="noto sans cjk sc regular">
    <w:panose1 w:val="020B0603030804020204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1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rFonts w:ascii="Marianne" w:hAnsi="Marianne"/>
        <w:sz w:val="22"/>
        <w:szCs w:val="22"/>
      </w:rPr>
      <w:instrText xml:space="preserve"> PAGE </w:instrText>
    </w:r>
    <w:r>
      <w:rPr>
        <w:rFonts w:ascii="Marianne" w:hAnsi="Marianne"/>
        <w:sz w:val="22"/>
        <w:szCs w:val="22"/>
      </w:rPr>
      <w:fldChar w:fldCharType="separate"/>
    </w:r>
    <w:r>
      <w:rPr>
        <w:rFonts w:ascii="Marianne" w:hAnsi="Marianne"/>
        <w:sz w:val="22"/>
        <w:szCs w:val="22"/>
      </w:rPr>
      <w:t xml:space="preserve">26</w:t>
    </w:r>
    <w:r>
      <w:rPr>
        <w:rFonts w:ascii="Marianne" w:hAnsi="Marianne"/>
        <w:sz w:val="22"/>
        <w:szCs w:val="22"/>
      </w:rP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0"/>
    </w:pPr>
    <w:r>
      <mc:AlternateContent>
        <mc:Choice Requires="wpg">
          <w:drawing>
            <wp:anchor xmlns:wp="http://schemas.openxmlformats.org/drawingml/2006/wordprocessingDrawing" distT="0" distB="9525" distL="114300" distR="114300" simplePos="0" relativeHeight="27" behindDoc="0" locked="0" layoutInCell="1" allowOverlap="1">
              <wp:simplePos x="0" y="0"/>
              <wp:positionH relativeFrom="column">
                <wp:posOffset>-361315</wp:posOffset>
              </wp:positionH>
              <wp:positionV relativeFrom="paragraph">
                <wp:posOffset>-211455</wp:posOffset>
              </wp:positionV>
              <wp:extent cx="660400" cy="596265"/>
              <wp:effectExtent l="0" t="0" r="0" b="0"/>
              <wp:wrapTight wrapText="bothSides">
                <wp:wrapPolygon edited="1">
                  <wp:start x="-630" y="0"/>
                  <wp:lineTo x="-630" y="20684"/>
                  <wp:lineTo x="20573" y="20684"/>
                  <wp:lineTo x="20573" y="0"/>
                  <wp:lineTo x="-630" y="0"/>
                </wp:wrapPolygon>
              </wp:wrapTight>
              <wp:docPr id="1" name="Image 1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60400" cy="596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8pt;z-index:27;o:allowoverlap:true;o:allowincell:true;mso-position-horizontal-relative:text;margin-left:-28.4pt;mso-position-horizontal:absolute;mso-position-vertical-relative:text;margin-top:-16.6pt;mso-position-vertical:absolute;width:52.0pt;height:46.9pt;" wrapcoords="-2916 0 -2916 95759 95245 95759 95245 0 -2916 0" stroked="false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distT="0" distB="0" distL="114300" distR="114300" simplePos="0" relativeHeight="53" behindDoc="0" locked="0" layoutInCell="1" allowOverlap="1">
              <wp:simplePos x="0" y="0"/>
              <wp:positionH relativeFrom="column">
                <wp:posOffset>4972685</wp:posOffset>
              </wp:positionH>
              <wp:positionV relativeFrom="paragraph">
                <wp:posOffset>-260350</wp:posOffset>
              </wp:positionV>
              <wp:extent cx="963930" cy="642620"/>
              <wp:effectExtent l="0" t="0" r="0" b="0"/>
              <wp:wrapTight wrapText="bothSides">
                <wp:wrapPolygon edited="1">
                  <wp:start x="-1262" y="0"/>
                  <wp:lineTo x="-1262" y="19299"/>
                  <wp:lineTo x="20085" y="19299"/>
                  <wp:lineTo x="20085" y="0"/>
                  <wp:lineTo x="-1262" y="0"/>
                </wp:wrapPolygon>
              </wp:wrapTight>
              <wp:docPr id="2" name="Image 2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2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963930" cy="642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53;o:allowoverlap:true;o:allowincell:true;mso-position-horizontal-relative:text;margin-left:391.5pt;mso-position-horizontal:absolute;mso-position-vertical-relative:text;margin-top:-20.5pt;mso-position-vertical:absolute;width:75.9pt;height:50.6pt;" wrapcoords="-5842 0 -5842 89347 92986 89347 92986 0 -5842 0" stroked="false">
              <v:path textboxrect="0,0,0,0"/>
              <v:imagedata r:id="rId2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697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698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5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6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8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9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5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6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8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9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fr-F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99"/>
    <w:link w:val="696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99"/>
    <w:link w:val="697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99"/>
    <w:link w:val="698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95"/>
    <w:next w:val="695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95"/>
    <w:next w:val="695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95"/>
    <w:next w:val="695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95"/>
    <w:next w:val="695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95"/>
    <w:next w:val="695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95"/>
    <w:next w:val="695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95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699"/>
    <w:link w:val="728"/>
    <w:uiPriority w:val="10"/>
    <w:rPr>
      <w:sz w:val="48"/>
      <w:szCs w:val="48"/>
    </w:rPr>
  </w:style>
  <w:style w:type="paragraph" w:styleId="34">
    <w:name w:val="Subtitle"/>
    <w:basedOn w:val="695"/>
    <w:next w:val="695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99"/>
    <w:link w:val="34"/>
    <w:uiPriority w:val="11"/>
    <w:rPr>
      <w:sz w:val="24"/>
      <w:szCs w:val="24"/>
    </w:rPr>
  </w:style>
  <w:style w:type="paragraph" w:styleId="36">
    <w:name w:val="Quote"/>
    <w:basedOn w:val="695"/>
    <w:next w:val="695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95"/>
    <w:next w:val="695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99"/>
    <w:link w:val="730"/>
    <w:uiPriority w:val="99"/>
  </w:style>
  <w:style w:type="character" w:styleId="43">
    <w:name w:val="Footer Char"/>
    <w:basedOn w:val="699"/>
    <w:link w:val="731"/>
    <w:uiPriority w:val="99"/>
  </w:style>
  <w:style w:type="character" w:styleId="45">
    <w:name w:val="Caption Char"/>
    <w:basedOn w:val="729"/>
    <w:link w:val="731"/>
    <w:uiPriority w:val="99"/>
  </w:style>
  <w:style w:type="table" w:styleId="47">
    <w:name w:val="Table Grid Light"/>
    <w:basedOn w:val="74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4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4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95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99"/>
    <w:uiPriority w:val="99"/>
    <w:unhideWhenUsed/>
    <w:rPr>
      <w:vertAlign w:val="superscript"/>
    </w:rPr>
  </w:style>
  <w:style w:type="paragraph" w:styleId="176">
    <w:name w:val="endnote text"/>
    <w:basedOn w:val="695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99"/>
    <w:uiPriority w:val="99"/>
    <w:semiHidden/>
    <w:unhideWhenUsed/>
    <w:rPr>
      <w:vertAlign w:val="superscript"/>
    </w:rPr>
  </w:style>
  <w:style w:type="paragraph" w:styleId="179">
    <w:name w:val="toc 1"/>
    <w:basedOn w:val="695"/>
    <w:next w:val="695"/>
    <w:uiPriority w:val="39"/>
    <w:unhideWhenUsed/>
    <w:pPr>
      <w:ind w:left="0" w:right="0" w:firstLine="0"/>
      <w:spacing w:after="57"/>
    </w:pPr>
  </w:style>
  <w:style w:type="paragraph" w:styleId="182">
    <w:name w:val="toc 4"/>
    <w:basedOn w:val="695"/>
    <w:next w:val="69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95"/>
    <w:next w:val="69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95"/>
    <w:next w:val="69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95"/>
    <w:next w:val="69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95"/>
    <w:next w:val="69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95"/>
    <w:next w:val="695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695"/>
    <w:next w:val="695"/>
    <w:uiPriority w:val="99"/>
    <w:unhideWhenUsed/>
    <w:pPr>
      <w:spacing w:after="0" w:afterAutospacing="0"/>
    </w:pPr>
  </w:style>
  <w:style w:type="paragraph" w:styleId="695" w:default="1">
    <w:name w:val="Normal"/>
    <w:qFormat/>
    <w:rPr>
      <w:rFonts w:ascii="Calibri" w:hAnsi="Calibri" w:eastAsia="Calibri"/>
      <w:color w:val="00000A"/>
      <w:sz w:val="22"/>
      <w:szCs w:val="22"/>
      <w:lang w:val="fr-FR" w:bidi="ar-SA" w:eastAsia="en-US"/>
    </w:rPr>
    <w:pPr>
      <w:jc w:val="left"/>
      <w:spacing w:lineRule="auto" w:line="259" w:after="160" w:before="0"/>
      <w:widowControl/>
    </w:pPr>
  </w:style>
  <w:style w:type="paragraph" w:styleId="696">
    <w:name w:val="Heading 1"/>
    <w:basedOn w:val="695"/>
    <w:next w:val="695"/>
    <w:link w:val="707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697">
    <w:name w:val="Heading 2"/>
    <w:basedOn w:val="723"/>
    <w:qFormat/>
    <w:rPr>
      <w:b/>
      <w:bCs/>
      <w:sz w:val="32"/>
      <w:szCs w:val="32"/>
    </w:rPr>
    <w:pPr>
      <w:numPr>
        <w:ilvl w:val="1"/>
        <w:numId w:val="1"/>
      </w:numPr>
      <w:spacing w:after="120" w:before="200"/>
      <w:outlineLvl w:val="1"/>
    </w:pPr>
  </w:style>
  <w:style w:type="paragraph" w:styleId="698">
    <w:name w:val="Heading 3"/>
    <w:basedOn w:val="723"/>
    <w:qFormat/>
    <w:rPr>
      <w:b/>
      <w:bCs/>
      <w:sz w:val="28"/>
      <w:szCs w:val="28"/>
    </w:rPr>
    <w:pPr>
      <w:numPr>
        <w:ilvl w:val="2"/>
        <w:numId w:val="1"/>
      </w:numPr>
      <w:spacing w:after="120" w:before="140"/>
      <w:outlineLvl w:val="2"/>
    </w:pPr>
  </w:style>
  <w:style w:type="character" w:styleId="699" w:default="1">
    <w:name w:val="Default Paragraph Font"/>
    <w:qFormat/>
    <w:uiPriority w:val="1"/>
    <w:semiHidden/>
    <w:unhideWhenUsed/>
  </w:style>
  <w:style w:type="character" w:styleId="700" w:customStyle="1">
    <w:name w:val="En-tête Car"/>
    <w:basedOn w:val="699"/>
    <w:qFormat/>
    <w:uiPriority w:val="99"/>
  </w:style>
  <w:style w:type="character" w:styleId="701" w:customStyle="1">
    <w:name w:val="Pied de page Car"/>
    <w:basedOn w:val="699"/>
    <w:link w:val="731"/>
    <w:qFormat/>
    <w:uiPriority w:val="99"/>
  </w:style>
  <w:style w:type="character" w:styleId="702" w:customStyle="1">
    <w:name w:val="Préformaté HTML Car"/>
    <w:basedOn w:val="699"/>
    <w:qFormat/>
    <w:uiPriority w:val="99"/>
    <w:semiHidden/>
    <w:rPr>
      <w:rFonts w:ascii="Courier New" w:hAnsi="Courier New" w:cs="Courier New" w:eastAsia="Times New Roman"/>
      <w:sz w:val="20"/>
      <w:szCs w:val="20"/>
      <w:lang w:eastAsia="fr-FR"/>
    </w:rPr>
  </w:style>
  <w:style w:type="character" w:styleId="703" w:customStyle="1">
    <w:name w:val="p"/>
    <w:basedOn w:val="699"/>
    <w:qFormat/>
  </w:style>
  <w:style w:type="character" w:styleId="704" w:customStyle="1">
    <w:name w:val="o"/>
    <w:basedOn w:val="699"/>
    <w:qFormat/>
  </w:style>
  <w:style w:type="character" w:styleId="705" w:customStyle="1">
    <w:name w:val="n"/>
    <w:basedOn w:val="699"/>
    <w:qFormat/>
  </w:style>
  <w:style w:type="character" w:styleId="706" w:customStyle="1">
    <w:name w:val="k"/>
    <w:basedOn w:val="699"/>
    <w:qFormat/>
  </w:style>
  <w:style w:type="character" w:styleId="707" w:customStyle="1">
    <w:name w:val="Titre 1 Car"/>
    <w:basedOn w:val="699"/>
    <w:link w:val="696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</w:style>
  <w:style w:type="character" w:styleId="708">
    <w:name w:val="Lien Internet"/>
    <w:rPr>
      <w:color w:val="000080"/>
      <w:u w:val="single"/>
    </w:rPr>
  </w:style>
  <w:style w:type="character" w:styleId="709">
    <w:name w:val="Lien Internet visité"/>
    <w:rPr>
      <w:color w:val="800000"/>
      <w:u w:val="single"/>
    </w:rPr>
  </w:style>
  <w:style w:type="character" w:styleId="710">
    <w:name w:val="ListLabel 1"/>
    <w:qFormat/>
    <w:rPr>
      <w:rFonts w:ascii="Arial" w:hAnsi="Arial" w:cs="Arial"/>
      <w:i/>
      <w:iCs/>
      <w:sz w:val="40"/>
      <w:szCs w:val="40"/>
    </w:rPr>
  </w:style>
  <w:style w:type="character" w:styleId="711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712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713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714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715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716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717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718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719">
    <w:name w:val="Texte source"/>
    <w:qFormat/>
    <w:rPr>
      <w:rFonts w:ascii="Liberation Mono" w:hAnsi="Liberation Mono" w:cs="Liberation Mono" w:eastAsia="Liberation Mono"/>
    </w:rPr>
  </w:style>
  <w:style w:type="character" w:styleId="72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72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722">
    <w:name w:val="Saut d'index"/>
    <w:qFormat/>
  </w:style>
  <w:style w:type="paragraph" w:styleId="723">
    <w:name w:val="Titre"/>
    <w:basedOn w:val="695"/>
    <w:next w:val="724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724">
    <w:name w:val="Body Text"/>
    <w:basedOn w:val="695"/>
    <w:pPr>
      <w:spacing w:lineRule="auto" w:line="276" w:after="140" w:before="0"/>
    </w:pPr>
  </w:style>
  <w:style w:type="paragraph" w:styleId="725">
    <w:name w:val="List"/>
    <w:basedOn w:val="724"/>
    <w:rPr>
      <w:rFonts w:cs="Lohit Devanagari"/>
    </w:rPr>
  </w:style>
  <w:style w:type="paragraph" w:styleId="726">
    <w:name w:val="Caption"/>
    <w:basedOn w:val="695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727" w:customStyle="1">
    <w:name w:val="Index"/>
    <w:basedOn w:val="695"/>
    <w:qFormat/>
    <w:rPr>
      <w:rFonts w:cs="Lohit Devanagari"/>
    </w:rPr>
    <w:pPr>
      <w:suppressLineNumbers/>
    </w:pPr>
  </w:style>
  <w:style w:type="paragraph" w:styleId="728">
    <w:name w:val="Title"/>
    <w:basedOn w:val="695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729">
    <w:name w:val="Caption"/>
    <w:basedOn w:val="695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730">
    <w:name w:val="Header"/>
    <w:basedOn w:val="695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731">
    <w:name w:val="Footer"/>
    <w:basedOn w:val="695"/>
    <w:link w:val="701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732">
    <w:name w:val="HTML Preformatted"/>
    <w:basedOn w:val="695"/>
    <w:link w:val="702"/>
    <w:qFormat/>
    <w:uiPriority w:val="99"/>
    <w:semiHidden/>
    <w:unhideWhenUsed/>
    <w:rPr>
      <w:rFonts w:ascii="Courier New" w:hAnsi="Courier New" w:cs="Courier New" w:eastAsia="Times New Roman"/>
      <w:sz w:val="20"/>
      <w:szCs w:val="20"/>
      <w:lang w:eastAsia="fr-FR"/>
    </w:rPr>
    <w:pPr>
      <w:spacing w:lineRule="auto" w:line="240"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733" w:customStyle="1">
    <w:name w:val="Obsah tabulky"/>
    <w:basedOn w:val="695"/>
    <w:qFormat/>
    <w:pPr>
      <w:suppressLineNumbers/>
    </w:pPr>
  </w:style>
  <w:style w:type="paragraph" w:styleId="734" w:customStyle="1">
    <w:name w:val="Contenu de tableau"/>
    <w:basedOn w:val="695"/>
    <w:qFormat/>
    <w:pPr>
      <w:suppressLineNumbers/>
    </w:pPr>
  </w:style>
  <w:style w:type="paragraph" w:styleId="735">
    <w:name w:val="toa heading"/>
    <w:basedOn w:val="728"/>
    <w:qFormat/>
    <w:rPr>
      <w:b/>
      <w:bCs/>
      <w:sz w:val="32"/>
      <w:szCs w:val="32"/>
    </w:rPr>
    <w:pPr>
      <w:suppressLineNumbers/>
    </w:pPr>
  </w:style>
  <w:style w:type="paragraph" w:styleId="736">
    <w:name w:val="TOC Heading"/>
    <w:basedOn w:val="696"/>
    <w:next w:val="695"/>
    <w:qFormat/>
    <w:uiPriority w:val="39"/>
    <w:unhideWhenUsed/>
    <w:rPr>
      <w:lang w:eastAsia="fr-FR"/>
    </w:rPr>
  </w:style>
  <w:style w:type="paragraph" w:styleId="737">
    <w:name w:val="Custom_style"/>
    <w:qFormat/>
    <w:rPr>
      <w:rFonts w:ascii="Calibri" w:hAnsi="Calibri" w:cs="Calibri" w:eastAsia="Calibri"/>
      <w:color w:val="auto"/>
      <w:sz w:val="4"/>
      <w:szCs w:val="22"/>
      <w:lang w:val="fr-FR" w:bidi="ar-SA" w:eastAsia="en-US"/>
    </w:rPr>
    <w:pPr>
      <w:jc w:val="left"/>
      <w:widowControl/>
    </w:pPr>
  </w:style>
  <w:style w:type="paragraph" w:styleId="738">
    <w:name w:val="03_texte-courant"/>
    <w:basedOn w:val="695"/>
    <w:qFormat/>
    <w:rPr>
      <w:rFonts w:ascii="Arial" w:hAnsi="Arial" w:cs="Arial" w:eastAsia="Calibri"/>
      <w:bCs/>
      <w:color w:val="000000" w:themeColor="text1"/>
      <w:sz w:val="20"/>
      <w:szCs w:val="20"/>
    </w:rPr>
    <w:pPr>
      <w:jc w:val="both"/>
      <w:spacing w:lineRule="exact" w:line="260" w:after="80" w:before="120"/>
      <w:widowControl w:val="off"/>
    </w:pPr>
  </w:style>
  <w:style w:type="paragraph" w:styleId="739">
    <w:name w:val="Contenu de cadre"/>
    <w:basedOn w:val="695"/>
    <w:qFormat/>
  </w:style>
  <w:style w:type="paragraph" w:styleId="740" w:customStyle="1">
    <w:name w:val="Custom_style2"/>
    <w:qFormat/>
    <w:rPr>
      <w:rFonts w:ascii="Calibri" w:hAnsi="Calibri" w:cs="Calibri" w:eastAsia="Calibri"/>
      <w:color w:val="auto"/>
      <w:sz w:val="4"/>
      <w:szCs w:val="22"/>
      <w:lang w:val="fr-FR" w:bidi="ar-SA" w:eastAsia="en-US"/>
    </w:rPr>
    <w:pPr>
      <w:jc w:val="left"/>
      <w:widowControl/>
    </w:pPr>
  </w:style>
  <w:style w:type="paragraph" w:styleId="741">
    <w:name w:val="toc 2"/>
    <w:basedOn w:val="727"/>
    <w:pPr>
      <w:ind w:left="283" w:firstLine="0"/>
      <w:tabs>
        <w:tab w:val="right" w:pos="9073" w:leader="dot"/>
      </w:tabs>
    </w:pPr>
  </w:style>
  <w:style w:type="paragraph" w:styleId="742">
    <w:name w:val="toc 3"/>
    <w:basedOn w:val="727"/>
    <w:pPr>
      <w:ind w:left="566" w:firstLine="0"/>
      <w:tabs>
        <w:tab w:val="right" w:pos="8790" w:leader="dot"/>
      </w:tabs>
    </w:pPr>
  </w:style>
  <w:style w:type="numbering" w:styleId="743" w:default="1">
    <w:name w:val="No List"/>
    <w:qFormat/>
    <w:uiPriority w:val="99"/>
    <w:semiHidden/>
    <w:unhideWhenUsed/>
  </w:style>
  <w:style w:type="table" w:styleId="74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745">
    <w:name w:val="Table Grid"/>
    <w:basedOn w:val="744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s://www.gouvernement.fr/portraits-de-la-relance" TargetMode="External"/><Relationship Id="rId13" Type="http://schemas.openxmlformats.org/officeDocument/2006/relationships/hyperlink" Target="https://www.economie.gouv.fr/plan-de-relance/profils/entreprises/bonus-ecologique" TargetMode="External"/><Relationship Id="rId14" Type="http://schemas.openxmlformats.org/officeDocument/2006/relationships/hyperlink" Target="https://www.economie.gouv.fr/plan-de-relance/profils/particuliers/maprimerenov" TargetMode="External"/><Relationship Id="rId15" Type="http://schemas.openxmlformats.org/officeDocument/2006/relationships/hyperlink" Target="https://www.entreprises.gouv.fr/fr/actualites/industrie/fonds-de-soutien-aux-filieres-automobile-et-aeronautique-205-nouveaux-laureats" TargetMode="External"/><Relationship Id="rId16" Type="http://schemas.openxmlformats.org/officeDocument/2006/relationships/hyperlink" Target="https://www.economie.gouv.fr/plan-de-relance/profils/entreprises/prime-conversion-soutien-aquisition-agro-equipements" TargetMode="External"/><Relationship Id="rId17" Type="http://schemas.openxmlformats.org/officeDocument/2006/relationships/hyperlink" Target="https://www.ecologie.gouv.fr/france-relance-bonus-ecologique-et-prime-conversion" TargetMode="External"/><Relationship Id="rId18" Type="http://schemas.openxmlformats.org/officeDocument/2006/relationships/hyperlink" Target="https://www.economie.gouv.fr/plan-de-relance/profils/entreprises/fonds-recyclage-friches" TargetMode="External"/><Relationship Id="rId19" Type="http://schemas.openxmlformats.org/officeDocument/2006/relationships/hyperlink" Target="https://www.economie.gouv.fr/plan-de-relance/profils/administrations/renovation-energetique-batiments-publics" TargetMode="External"/><Relationship Id="rId20" Type="http://schemas.openxmlformats.org/officeDocument/2006/relationships/hyperlink" Target="https://www.entreprises.gouv.fr/fr/industrie/politique-industrielle/territoires-d-industrie" TargetMode="External"/><Relationship Id="rId2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22" Type="http://schemas.openxmlformats.org/officeDocument/2006/relationships/hyperlink" Target="https://www.economie.gouv.fr/plan-de-relance/profils/entreprises/aides-francenum-transformation-numerique" TargetMode="External"/><Relationship Id="rId23" Type="http://schemas.openxmlformats.org/officeDocument/2006/relationships/hyperlink" Target="https://www.economie.gouv.fr/plan-de-relance/profils/entreprises/aide-investissement-industrie-du-futur" TargetMode="External"/><Relationship Id="rId24" Type="http://schemas.openxmlformats.org/officeDocument/2006/relationships/hyperlink" Target="https://www.economie.gouv.fr/files/files/directions_services/plan-de-relance/Guide-mesures-relance-exportations.pdf" TargetMode="External"/><Relationship Id="rId25" Type="http://schemas.openxmlformats.org/officeDocument/2006/relationships/hyperlink" Target="https://www.economie.gouv.fr/files/files/directions_services/plan-de-relance/Guide-mesures-relance-exportations.pdf" TargetMode="External"/><Relationship Id="rId2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7" Type="http://schemas.openxmlformats.org/officeDocument/2006/relationships/hyperlink" Target="https://www.economie.gouv.fr/plan-de-relance/profils/entreprises/aide-embauche-jeune-contrat-initiative-emploi-cie" TargetMode="External"/><Relationship Id="rId28" Type="http://schemas.openxmlformats.org/officeDocument/2006/relationships/hyperlink" Target="https://travail-emploi.gouv.fr/formation-professionnelle/entreprise-et-alternance/aide-exceptionnelle-contrat-pro" TargetMode="External"/><Relationship Id="rId29" Type="http://schemas.openxmlformats.org/officeDocument/2006/relationships/hyperlink" Target="https://travail-emploi.gouv.fr/emploi/mesures-jeunes/garantiejeunes/" TargetMode="External"/><Relationship Id="rId30" Type="http://schemas.openxmlformats.org/officeDocument/2006/relationships/hyperlink" Target="https://www.economie.gouv.fr/plan-de-relance/insertion-personnes-eloignees-emploi-pec" TargetMode="External"/><Relationship Id="rId31" Type="http://schemas.openxmlformats.org/officeDocument/2006/relationships/hyperlink" Target="https://www.economie.gouv.fr/plan-de-relance/profils/entreprises/aide-embauche-jeunes" TargetMode="External"/><Relationship Id="rId32" Type="http://schemas.openxmlformats.org/officeDocument/2006/relationships/hyperlink" Target="https://www.economie.gouv.fr/entreprises/aide-mobilisation-employeurs-embauche-travailleurs-handicapes-plan-relance" TargetMode="External"/><Relationship Id="rId33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Company>Secrétariat Général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TRAN</dc:creator>
  <dc:description/>
  <dc:language>fr-FR</dc:language>
  <cp:lastModifiedBy>Yannick SCALZOTTO</cp:lastModifiedBy>
  <cp:revision>50</cp:revision>
  <dcterms:created xsi:type="dcterms:W3CDTF">2021-04-02T09:48:00Z</dcterms:created>
  <dcterms:modified xsi:type="dcterms:W3CDTF">2021-07-19T12:06:34Z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