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38"/>
      </w:pPr>
      <w:r>
        <w:rPr>
          <w:rFonts w:ascii="Marianne" w:hAnsi="Marianne" w:cs="Arial"/>
          <w:b/>
          <w:bCs/>
          <w:sz w:val="56"/>
          <w:szCs w:val="56"/>
        </w:rPr>
        <w:t xml:space="preserve">SUIVI TERRITORIAL</w:t>
      </w:r>
      <w:r/>
    </w:p>
    <w:p>
      <w:pPr>
        <w:pStyle w:val="938"/>
      </w:pPr>
      <w:r>
        <w:rPr>
          <w:rFonts w:ascii="Marianne" w:hAnsi="Marianne" w:cs="Arial"/>
          <w:b/>
          <w:bCs/>
          <w:sz w:val="56"/>
          <w:szCs w:val="56"/>
        </w:rPr>
        <w:t xml:space="preserve">DU PLAN FRANCE RELANCE</w:t>
      </w:r>
      <w:r/>
    </w:p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38"/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 xml:space="preserve">Données pour le département : Haute-Loire</w:t>
      </w:r>
      <w:r/>
    </w:p>
    <w:p>
      <w:pPr>
        <w:pStyle w:val="938"/>
      </w:pPr>
      <w:r>
        <w:rPr>
          <w:rFonts w:ascii="Marianne" w:hAnsi="Marianne" w:cs="Arial"/>
          <w:i/>
          <w:iCs/>
          <w:sz w:val="40"/>
          <w:szCs w:val="40"/>
        </w:rPr>
        <w:t xml:space="preserve">Date : Mai 2021</w:t>
      </w:r>
      <w:r/>
    </w:p>
    <w:p>
      <w:pPr>
        <w:pStyle w:val="938"/>
        <w:rPr>
          <w:rFonts w:ascii="Marianne" w:hAnsi="Marianne" w:cs="Arial"/>
          <w:i/>
          <w:iCs/>
          <w:sz w:val="56"/>
          <w:szCs w:val="56"/>
        </w:rPr>
      </w:pPr>
      <w:r>
        <w:rPr>
          <w:rFonts w:ascii="Marianne" w:hAnsi="Marianne" w:cs="Arial"/>
          <w:i/>
          <w:iCs/>
          <w:sz w:val="56"/>
          <w:szCs w:val="56"/>
        </w:rPr>
      </w:r>
      <w:r/>
    </w:p>
    <w:p>
      <w:pPr>
        <w:pStyle w:val="981"/>
        <w:jc w:val="both"/>
      </w:pPr>
      <w:r>
        <w:rPr>
          <w:rFonts w:ascii="Marianne" w:hAnsi="Marianne"/>
          <w:sz w:val="22"/>
          <w:szCs w:val="22"/>
        </w:rPr>
        <w:t xml:space="preserve"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 xml:space="preserve">: cr</w:t>
      </w:r>
      <w:r>
        <w:rPr>
          <w:rFonts w:ascii="Marianne" w:hAnsi="Marianne" w:cs="Marianne"/>
          <w:sz w:val="22"/>
          <w:szCs w:val="22"/>
        </w:rPr>
        <w:t xml:space="preserve">é</w:t>
      </w:r>
      <w:r>
        <w:rPr>
          <w:rFonts w:ascii="Marianne" w:hAnsi="Marianne"/>
          <w:sz w:val="22"/>
          <w:szCs w:val="22"/>
        </w:rPr>
        <w:t xml:space="preserve">ations d’emploi, développement économique, amélioration de l’empreinte écologique…dans tous les départements de France.</w:t>
      </w:r>
      <w:r/>
    </w:p>
    <w:p>
      <w:pPr>
        <w:pStyle w:val="980"/>
        <w:jc w:val="both"/>
        <w:rPr>
          <w:i w:val="false"/>
          <w:iCs w:val="false"/>
          <w:sz w:val="22"/>
          <w:szCs w:val="22"/>
        </w:rPr>
      </w:pPr>
      <w:r>
        <w:rPr>
          <w:rFonts w:ascii="Marianne" w:hAnsi="Marianne" w:cs="Arial"/>
          <w:i w:val="false"/>
          <w:iCs w:val="false"/>
          <w:sz w:val="22"/>
          <w:szCs w:val="22"/>
        </w:rPr>
        <w:t xml:space="preserve"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ascii="Marianne" w:hAnsi="Marianne" w:cs="Calibri"/>
          <w:i w:val="false"/>
          <w:iCs w:val="false"/>
          <w:sz w:val="22"/>
          <w:szCs w:val="22"/>
        </w:rPr>
        <w:t xml:space="preserve"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/>
    </w:p>
    <w:p>
      <w:pPr>
        <w:pStyle w:val="983"/>
        <w:jc w:val="both"/>
      </w:pPr>
      <w:r/>
      <w:hyperlink r:id="rId12" w:tooltip="https://www.gouvernement.fr/portraits-de-la-relance" w:history="1">
        <w:r>
          <w:rPr>
            <w:rStyle w:val="952"/>
            <w:rFonts w:ascii="Marianne" w:hAnsi="Marianne" w:cs="Arial"/>
            <w:i/>
            <w:iCs/>
            <w:color w:val="00A65D"/>
            <w:sz w:val="22"/>
            <w:szCs w:val="22"/>
          </w:rPr>
          <w:t xml:space="preserve">Portraits de la relance</w:t>
        </w:r>
      </w:hyperlink>
      <w:r>
        <w:br w:type="page"/>
      </w:r>
      <w:r/>
    </w:p>
    <w:p>
      <w:pPr>
        <w:pStyle w:val="938"/>
        <w:rPr>
          <w:rFonts w:ascii="Marianne" w:hAnsi="Marianne"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  <w:r/>
    </w:p>
    <w:sdt>
      <w:sdtPr>
        <w15:appearance w15:val="boundingBox"/>
        <w:id w:val="152315634"/>
        <w:docPartObj>
          <w:docPartGallery w:val="Table of Contents"/>
          <w:docPartUnique w:val="true"/>
        </w:docPartObj>
        <w:rPr/>
      </w:sdtPr>
      <w:sdtContent>
        <w:p>
          <w:pPr>
            <w:pStyle w:val="979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 xml:space="preserve">Table des matières</w:t>
          </w:r>
          <w:r/>
        </w:p>
        <w:p>
          <w:pPr>
            <w:pStyle w:val="984"/>
            <w:tabs>
              <w:tab w:val="right" w:pos="9356" w:leader="dot"/>
            </w:tabs>
          </w:pPr>
          <w:r>
            <w:fldChar w:fldCharType="begin"/>
          </w:r>
          <w:r>
            <w:rPr>
              <w:rStyle w:val="965"/>
            </w:rPr>
            <w:instrText xml:space="preserve"> TOC \z \o "1-3" \u \h</w:instrText>
          </w:r>
          <w:r>
            <w:rPr>
              <w:rStyle w:val="965"/>
            </w:rPr>
            <w:fldChar w:fldCharType="separate"/>
          </w:r>
          <w:hyperlink w:tooltip="#__RefHeading___Toc2138_1619785588" w:anchor="__RefHeading___Toc2138_1619785588" w:history="1">
            <w:r>
              <w:rPr>
                <w:rStyle w:val="965"/>
              </w:rPr>
              <w:t xml:space="preserve">Volet 1 : Ecologie</w:t>
              <w:tab/>
              <w:t xml:space="preserve">3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40_1619785588" w:anchor="__RefHeading___Toc2140_1619785588" w:history="1">
            <w:r>
              <w:rPr>
                <w:rStyle w:val="965"/>
              </w:rPr>
              <w:t xml:space="preserve">1 - Bonus écologique</w:t>
              <w:tab/>
              <w:t xml:space="preserve">4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42_1619785588" w:anchor="__RefHeading___Toc2142_1619785588" w:history="1">
            <w:r>
              <w:rPr>
                <w:rStyle w:val="965"/>
              </w:rPr>
              <w:t xml:space="preserve">2 - MaPrimeRénov'</w:t>
              <w:tab/>
              <w:t xml:space="preserve">5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44_1619785588" w:anchor="__RefHeading___Toc2144_1619785588" w:history="1">
            <w:r>
              <w:rPr>
                <w:rStyle w:val="965"/>
              </w:rPr>
              <w:t xml:space="preserve">3 - Modernisation des filières automobiles et aéronautiques</w:t>
              <w:tab/>
              <w:t xml:space="preserve">6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46_1619785588" w:anchor="__RefHeading___Toc2146_1619785588" w:history="1">
            <w:r>
              <w:rPr>
                <w:rStyle w:val="965"/>
              </w:rPr>
              <w:t xml:space="preserve">4 - Prime à la conversion des agroéquipements</w:t>
              <w:tab/>
              <w:t xml:space="preserve">7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48_1619785588" w:anchor="__RefHeading___Toc2148_1619785588" w:history="1">
            <w:r>
              <w:rPr>
                <w:rStyle w:val="965"/>
              </w:rPr>
              <w:t xml:space="preserve">5 - Prime à la conversion des véhicules légers</w:t>
              <w:tab/>
              <w:t xml:space="preserve">8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50_1619785588" w:anchor="__RefHeading___Toc2150_1619785588" w:history="1">
            <w:r>
              <w:rPr>
                <w:rStyle w:val="965"/>
              </w:rPr>
              <w:t xml:space="preserve">6 - Réhabilitation Friches (urbaines et sites pollués)</w:t>
              <w:tab/>
              <w:t xml:space="preserve">9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52_1619785588" w:anchor="__RefHeading___Toc2152_1619785588" w:history="1">
            <w:r>
              <w:rPr>
                <w:rStyle w:val="965"/>
              </w:rPr>
              <w:t xml:space="preserve">7 - Rénovation bâtiments Etat</w:t>
              <w:tab/>
              <w:t xml:space="preserve">10</w:t>
            </w:r>
          </w:hyperlink>
          <w:r/>
          <w:r/>
        </w:p>
        <w:p>
          <w:pPr>
            <w:pStyle w:val="984"/>
            <w:tabs>
              <w:tab w:val="right" w:pos="9356" w:leader="dot"/>
            </w:tabs>
          </w:pPr>
          <w:r/>
          <w:hyperlink w:tooltip="#__RefHeading___Toc2154_1619785588" w:anchor="__RefHeading___Toc2154_1619785588" w:history="1">
            <w:r>
              <w:rPr>
                <w:rStyle w:val="965"/>
              </w:rPr>
              <w:t xml:space="preserve">Volet 2 : Compétitivité</w:t>
              <w:tab/>
              <w:t xml:space="preserve">11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56_1619785588" w:anchor="__RefHeading___Toc2156_1619785588" w:history="1">
            <w:r>
              <w:rPr>
                <w:rStyle w:val="965"/>
              </w:rPr>
              <w:t xml:space="preserve">8 - AAP Industrie : Soutien aux projets industriels territoires</w:t>
              <w:tab/>
              <w:t xml:space="preserve">12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58_1619785588" w:anchor="__RefHeading___Toc2158_1619785588" w:history="1">
            <w:r>
              <w:rPr>
                <w:rStyle w:val="965"/>
              </w:rPr>
              <w:t xml:space="preserve">9 - AAP Industrie : Sécurisation approvisionnements critiques</w:t>
              <w:tab/>
              <w:t xml:space="preserve">13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60_1619785588" w:anchor="__RefHeading___Toc2160_1619785588" w:history="1">
            <w:r>
              <w:rPr>
                <w:rStyle w:val="965"/>
              </w:rPr>
              <w:t xml:space="preserve">10 - France Num : aide à la numérisation des TPE,PME,ETI</w:t>
              <w:tab/>
              <w:t xml:space="preserve">14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62_1619785588" w:anchor="__RefHeading___Toc2162_1619785588" w:history="1">
            <w:r>
              <w:rPr>
                <w:rStyle w:val="965"/>
              </w:rPr>
              <w:t xml:space="preserve">11 - Industrie du futur</w:t>
              <w:tab/>
              <w:t xml:space="preserve">15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64_1619785588" w:anchor="__RefHeading___Toc2164_1619785588" w:history="1">
            <w:r>
              <w:rPr>
                <w:rStyle w:val="965"/>
              </w:rPr>
              <w:t xml:space="preserve">12 - Renforcement subventions Business France</w:t>
              <w:tab/>
              <w:t xml:space="preserve">16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66_1619785588" w:anchor="__RefHeading___Toc2166_1619785588" w:history="1">
            <w:r>
              <w:rPr>
                <w:rStyle w:val="965"/>
              </w:rPr>
              <w:t xml:space="preserve">13 - Soutien aux filières culturelles (cinéma, audiovisuel, musique, numérique, livre)</w:t>
              <w:tab/>
              <w:t xml:space="preserve">17</w:t>
            </w:r>
          </w:hyperlink>
          <w:r/>
          <w:r/>
        </w:p>
        <w:p>
          <w:pPr>
            <w:pStyle w:val="984"/>
            <w:tabs>
              <w:tab w:val="right" w:pos="9356" w:leader="dot"/>
            </w:tabs>
          </w:pPr>
          <w:r/>
          <w:hyperlink w:tooltip="#__RefHeading___Toc2168_1619785588" w:anchor="__RefHeading___Toc2168_1619785588" w:history="1">
            <w:r>
              <w:rPr>
                <w:rStyle w:val="965"/>
              </w:rPr>
              <w:t xml:space="preserve">Volet 3 : Cohésion</w:t>
              <w:tab/>
              <w:t xml:space="preserve">18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70_1619785588" w:anchor="__RefHeading___Toc2170_1619785588" w:history="1">
            <w:r>
              <w:rPr>
                <w:rStyle w:val="965"/>
              </w:rPr>
              <w:t xml:space="preserve">14 - Apprentissage</w:t>
              <w:tab/>
              <w:t xml:space="preserve">19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72_1619785588" w:anchor="__RefHeading___Toc2172_1619785588" w:history="1">
            <w:r>
              <w:rPr>
                <w:rStyle w:val="965"/>
              </w:rPr>
              <w:t xml:space="preserve">15 - Contrats Initiatives Emploi (CIE) Jeunes</w:t>
              <w:tab/>
              <w:t xml:space="preserve">20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74_1619785588" w:anchor="__RefHeading___Toc2174_1619785588" w:history="1">
            <w:r>
              <w:rPr>
                <w:rStyle w:val="965"/>
              </w:rPr>
              <w:t xml:space="preserve">16 - Contrats de professionnalisation</w:t>
              <w:tab/>
              <w:t xml:space="preserve">21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76_1619785588" w:anchor="__RefHeading___Toc2176_1619785588" w:history="1">
            <w:r>
              <w:rPr>
                <w:rStyle w:val="965"/>
              </w:rPr>
              <w:t xml:space="preserve">17 - Garantie jeunes</w:t>
              <w:tab/>
              <w:t xml:space="preserve">22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78_1619785588" w:anchor="__RefHeading___Toc2178_1619785588" w:history="1">
            <w:r>
              <w:rPr>
                <w:rStyle w:val="965"/>
              </w:rPr>
              <w:t xml:space="preserve">18 - Parcours emploi compétences (PEC) Jeunes</w:t>
              <w:tab/>
              <w:t xml:space="preserve">23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80_1619785588" w:anchor="__RefHeading___Toc2180_1619785588" w:history="1">
            <w:r>
              <w:rPr>
                <w:rStyle w:val="965"/>
              </w:rPr>
              <w:t xml:space="preserve">19 - Prime à l'embauche des jeunes</w:t>
              <w:tab/>
              <w:t xml:space="preserve">24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82_1619785588" w:anchor="__RefHeading___Toc2182_1619785588" w:history="1">
            <w:r>
              <w:rPr>
                <w:rStyle w:val="965"/>
              </w:rPr>
              <w:t xml:space="preserve">20 - Prime à l'embauche pour les travailleurs handicapés</w:t>
              <w:tab/>
              <w:t xml:space="preserve">25</w:t>
            </w:r>
          </w:hyperlink>
          <w:r/>
          <w:r/>
        </w:p>
        <w:p>
          <w:pPr>
            <w:pStyle w:val="985"/>
            <w:tabs>
              <w:tab w:val="right" w:pos="9356" w:leader="dot"/>
            </w:tabs>
          </w:pPr>
          <w:r/>
          <w:hyperlink w:tooltip="#__RefHeading___Toc2184_1619785588" w:anchor="__RefHeading___Toc2184_1619785588" w:history="1">
            <w:r>
              <w:rPr>
                <w:rStyle w:val="965"/>
              </w:rPr>
              <w:t xml:space="preserve">21 - Service civique</w:t>
              <w:tab/>
              <w:t xml:space="preserve">26</w:t>
            </w:r>
          </w:hyperlink>
          <w:r/>
          <w:r/>
        </w:p>
      </w:sdtContent>
    </w:sdt>
    <w:p>
      <w:pPr>
        <w:pStyle w:val="983"/>
      </w:pPr>
      <w:r>
        <w:fldChar w:fldCharType="end"/>
      </w:r>
      <w:r>
        <w:br w:type="page"/>
      </w:r>
      <w:r/>
    </w:p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40"/>
        <w:numPr>
          <w:ilvl w:val="1"/>
          <w:numId w:val="2"/>
        </w:numPr>
        <w:rPr>
          <w:sz w:val="44"/>
          <w:szCs w:val="44"/>
        </w:rPr>
      </w:pPr>
      <w:r/>
      <w:bookmarkStart w:id="0" w:name="__RefHeading___Toc2138_1619785588"/>
      <w:r/>
      <w:bookmarkEnd w:id="0"/>
      <w:r>
        <w:rPr>
          <w:rFonts w:ascii="Marianne" w:hAnsi="Marianne"/>
          <w:sz w:val="48"/>
          <w:szCs w:val="48"/>
        </w:rPr>
        <w:t xml:space="preserve">Volet 1 : Ecologie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Les entreprises et 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particuliers se saisissent du volet transition écologique du plan France Relance dans toutes ses composantes. </w:t>
              <w:br/>
              <w:t xml:space="preserve"> </w:t>
              <w:br/>
              <w:t xml:space="preserve">L’État accompagne notamment : </w:t>
              <w:br/>
              <w:t xml:space="preserve"> </w:t>
              <w:br/>
              <w:t xml:space="preserve">- la rénovation thermique des bâtiments privés (1028 dossiers et 3,4 M€ d’aides sur les 4 premiers mois de l’a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nnée 2021) et publics (3,8 M€ d’ai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des via la DSIL rénovation thermique et la DSID rénovation thermique, nouvelles subventions à destination des collectivités), </w:t>
              <w:br/>
              <w:t xml:space="preserve"> </w:t>
              <w:br/>
              <w:t xml:space="preserve">- la décarbonation de l’industrie avec deux entreprises bénéficiaires d’appels à projets nationaux : Michelin sur le dispositif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« efficacité énergétique » (1,75 M€) et Biosyl sur la « production d’énergie biomasse » (1,77 M€), </w:t>
              <w:br/>
              <w:t xml:space="preserve"> </w:t>
              <w:br/>
              <w:t xml:space="preserve">- l’économie circulaire avec 6 entreprises sou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tenues par le fonds de soutien de l’État à la vente de matières plastiques issues du recyclage (1,44 M€),  </w:t>
            </w:r>
            <w:r>
              <w:rPr>
                <w:sz w:val="20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  <w:sz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  <w:sz w:val="20"/>
                <w:highlight w:val="none"/>
              </w:rPr>
            </w:pPr>
            <w:r>
              <w:rPr>
                <w:rFonts w:ascii="Marianne" w:hAnsi="Marianne"/>
                <w:sz w:val="20"/>
              </w:rPr>
              <w:t xml:space="preserve">- l’agriculture et sa transition écologique, </w:t>
            </w:r>
            <w:r>
              <w:rPr>
                <w:rFonts w:ascii="Marianne" w:hAnsi="Marianne"/>
                <w:sz w:val="20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  <w:sz w:val="20"/>
              </w:rPr>
            </w:pPr>
            <w:r>
              <w:rPr>
                <w:rFonts w:ascii="Marianne" w:hAnsi="Marianne"/>
                <w:sz w:val="20"/>
                <w:highlight w:val="none"/>
              </w:rPr>
            </w:r>
            <w:r>
              <w:rPr>
                <w:rFonts w:ascii="Marianne" w:hAnsi="Marianne"/>
                <w:sz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  <w:sz w:val="20"/>
              </w:rPr>
            </w:pPr>
            <w:r>
              <w:rPr>
                <w:rFonts w:ascii="Marianne" w:hAnsi="Marianne"/>
                <w:sz w:val="20"/>
              </w:rPr>
              <w:t xml:space="preserve">- la réhabilitation des friches avec deux projets retenus en Haute-Loire.</w:t>
            </w:r>
            <w:r>
              <w:rPr>
                <w:rFonts w:ascii="Marianne" w:hAnsi="Marianne"/>
                <w:sz w:val="20"/>
              </w:rPr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" w:name="__RefHeading___Toc2140_1619785588"/>
      <w:r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13" w:tooltip="https://www.economie.gouv.fr/plan-de-relance/profils/entreprises/bonus-ecologique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Bonus écologique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520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462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411 (2%)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23 595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21 142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18 494 (14%)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" w:name="__RefHeading___Toc2142_1619785588"/>
      <w:r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14" w:tooltip="https://www.economie.gouv.fr/plan-de-relance/profils/particuliers/maprimerenov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MaPrimeRénov'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8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1 624 (6%)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30.8 M€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1 213 (6%)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24.9 M€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830 (6%)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20.4 M€ (6%)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26 769 (12%)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484.8 M€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20 060 (12%)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402.8 M€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13 658 (12%)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335.5 M€ (12%)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59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6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5" w:name="__RefHeading___Toc2144_1619785588"/>
      <w:r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5" w:tooltip="https://www.entreprises.gouv.fr/fr/actualites/industrie/fonds-de-soutien-aux-filieres-automobile-et-aeronautique-205-nouveaux-laureats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Modernisation des filières automobiles et aéronautiques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123 (19%)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123 (19%)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95 (18%)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7" w:name="__RefHeading___Toc2146_1619785588"/>
      <w:r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6" w:tooltip="https://www.economie.gouv.fr/plan-de-relance/profils/entreprises/prime-conversion-soutien-aquisition-agro-equipements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agroéquipements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45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45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833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833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7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9" w:name="__RefHeading___Toc2148_1619785588"/>
      <w:r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7" w:tooltip="https://www.ecologie.gouv.fr/france-relance-bonus-ecologique-et-prime-conversion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véhicules légers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984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932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903 (4%)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25 017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24 031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23 046 (13%)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1" w:name="__RefHeading___Toc2150_1619785588"/>
      <w:r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8" w:tooltip="https://www.economie.gouv.fr/plan-de-relance/profils/entreprises/fonds-recyclage-friches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Réhabilitation Friches (urbaines et sites pollués)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3" w:name="__RefHeading___Toc2152_1619785588"/>
      <w:r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9" w:tooltip="https://www.economie.gouv.fr/plan-de-relance/profils/administrations/renovation-energetique-batiments-publics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Rénovation bâtiments Etat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(0%)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145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102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70 (12%)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  <w:r/>
          </w:p>
        </w:tc>
      </w:tr>
    </w:tbl>
    <w:p>
      <w:pPr>
        <w:pStyle w:val="93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7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highlight w:val="none"/>
              </w:rPr>
            </w:pPr>
            <w:r>
              <w:t xml:space="preserve">- centres des finances publiques du Puy-en-Velay, de Brioude et d’Yssingeaux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 sous-préfecture de Brioude</w:t>
            </w:r>
            <w:r>
              <w:rPr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</w:pPr>
            <w:r>
              <w:rPr>
                <w:highlight w:val="none"/>
              </w:rPr>
              <w:t xml:space="preserve">- tribunal judiciaire du Puy-en-Velay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40"/>
        <w:numPr>
          <w:ilvl w:val="1"/>
          <w:numId w:val="10"/>
        </w:numPr>
        <w:rPr>
          <w:sz w:val="44"/>
          <w:szCs w:val="44"/>
        </w:rPr>
      </w:pPr>
      <w:r/>
      <w:bookmarkStart w:id="15" w:name="__RefHeading___Toc2154_1619785588"/>
      <w:r/>
      <w:bookmarkEnd w:id="15"/>
      <w:r>
        <w:rPr>
          <w:rFonts w:ascii="Marianne" w:hAnsi="Marianne"/>
          <w:sz w:val="48"/>
          <w:szCs w:val="48"/>
        </w:rPr>
        <w:t xml:space="preserve">Volet 2 : Compétitivité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 plan France Relance bénéficie à l’économie et aux entreprises de Ha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ute-Loire avec en particulier : </w:t>
              <w:br/>
              <w:t xml:space="preserve"> </w:t>
              <w:br/>
              <w:t xml:space="preserve">- le soutien à l’industrie : 68 entreprises lauréates des deux appels à projets de soutien à l’industrie opérés par Bpifrance et du guichet « Industrie du futur » opéré par l’ASP représentant 14 M€ de subventions pour plu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s de 50 M€ d’investissement, </w:t>
              <w:br/>
              <w:t xml:space="preserve"> </w:t>
              <w:br/>
              <w:t xml:space="preserve">- le soutien à l’export avec 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les chèques export, les assurances-prospection et les volontariats internationaux en entreprise, </w:t>
            </w:r>
            <w:r>
              <w:rPr>
                <w:sz w:val="20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  <w:sz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  <w:sz w:val="20"/>
              </w:rPr>
            </w:pPr>
            <w:r>
              <w:rPr>
                <w:rFonts w:ascii="Marianne" w:hAnsi="Marianne"/>
                <w:sz w:val="20"/>
              </w:rPr>
              <w:t xml:space="preserve">- le soutien à la numérisation des TPE, PME et ETI.</w:t>
            </w:r>
            <w:r>
              <w:rPr>
                <w:rFonts w:ascii="Marianne" w:hAnsi="Marianne"/>
                <w:sz w:val="20"/>
              </w:rPr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6" w:name="__RefHeading___Toc2156_1619785588"/>
      <w:r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20" w:tooltip="https://www.entreprises.gouv.fr/fr/industrie/politique-industrielle/territoires-d-industrie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Soutien aux projets industriels territoires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(14%)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88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66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65 (10%)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  <w:r/>
          </w:p>
        </w:tc>
      </w:tr>
    </w:tbl>
    <w:p>
      <w:pPr>
        <w:pStyle w:val="93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7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82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9 entreprises bénéficiaires de cet appel à projets territorial :- Propyplast (plasturgie) : 400 000 €, </w:t>
              <w:br/>
              <w:t xml:space="preserve">- Helpac (huiles essentielles) : 450 000 €, </w:t>
              <w:br/>
              <w:t xml:space="preserve">- Leygatech (plasturgie) : 275 000 €, </w:t>
              <w:br/>
              <w:t xml:space="preserve">- Barbier (plasturgie)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: 460 000 €, </w:t>
              <w:br/>
              <w:t xml:space="preserve">- Cintrafil (fabrication d’articles métalliques) : 382 000 €, </w:t>
              <w:br/>
              <w:t xml:space="preserve">- AEP Group (plasturgie) : 740 000 €, </w:t>
              <w:br/>
              <w:t xml:space="preserve">- Inframet (pylônes télécommunications) : 705 000 €, </w:t>
              <w:br/>
              <w:t xml:space="preserve">- Française de gastronomie (agroalimentaire) : 350 000 €, </w:t>
              <w:br/>
              <w:t xml:space="preserve">- Hexadrone : 600 000 €.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8" w:name="__RefHeading___Toc2158_1619785588"/>
      <w:r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21" w:tooltip="https://www.bpifrance.fr/A-la-une/Appels-a-projets-concours/Appel-a-projets-Plan-de-relance-pour-l-industrie-Secteurs-strategiques-volet-national-50697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Sécurisation approvisionnements critiques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63 (20%)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63 (20%)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55 (20%)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  <w:r/>
          </w:p>
        </w:tc>
      </w:tr>
    </w:tbl>
    <w:p>
      <w:pPr>
        <w:pStyle w:val="93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7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3 entreprises bénéficiaires pour cet appel à projet national : </w:t>
              <w:br/>
              <w:t xml:space="preserve">- Fareva la Vallée (secteur de la santé) : 685 000 €, </w:t>
              <w:br/>
              <w:t xml:space="preserve">- Moulinage du Solier (industries critiques) : 610 000 €,</w:t>
            </w:r>
            <w:r/>
          </w:p>
          <w:p>
            <w:pPr>
              <w:pStyle w:val="982"/>
              <w:ind w:left="0" w:firstLine="0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BTS (composants automobiles) : 527 675 €.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ind w:left="0" w:firstLine="0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0" w:name="__RefHeading___Toc2160_1619785588"/>
      <w:r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22" w:tooltip="https://www.economie.gouv.fr/plan-de-relance/profils/entreprises/aides-francenum-transformation-numerique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France Num : aide à la numérisation des TPE,PME,ETI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139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105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85 (3%)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6 269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4 631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3 352 (12%)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  <w:r/>
          </w:p>
        </w:tc>
      </w:tr>
    </w:tbl>
    <w:p>
      <w:pPr>
        <w:pStyle w:val="93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7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- 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2VG-AVENTURES à Saint Paulien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Altitude 1753 à Yssingeaux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C dans la boîte à Brioude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Mamyr à Sanssac l’Eglise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2" w:name="__RefHeading___Toc2162_1619785588"/>
      <w:r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23" w:tooltip="https://www.economie.gouv.fr/plan-de-relance/profils/entreprises/aide-investissement-industrie-du-futur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Industrie du futur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35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(3%)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877 (36%)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446 (44%)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269 (38%)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  <w:r/>
          </w:p>
        </w:tc>
      </w:tr>
    </w:tbl>
    <w:p>
      <w:pPr>
        <w:pStyle w:val="983"/>
      </w:pPr>
      <w:r/>
      <w:r/>
    </w:p>
    <w:p>
      <w:pPr>
        <w:pStyle w:val="983"/>
      </w:pPr>
      <w:r/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fill="FFFFFF" w:color="FFFFFF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7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- établissements Cornut à Montfaucon-en-Velay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scierie Moulin à Dunières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scierie Celle à Araules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tabs>
                <w:tab w:val="left" w:pos="2543" w:leader="none"/>
              </w:tabs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Thermo Steph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 à la Chapelle-d’Aurec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tabs>
                <w:tab w:val="left" w:pos="2543" w:leader="none"/>
              </w:tabs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  <w:t xml:space="preserve">- Bobitech à Saint-Julien-Chapteuil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4" w:name="__RefHeading___Toc2164_1619785588"/>
      <w:r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24" w:tooltip="https://www.economie.gouv.fr/files/files/directions_services/plan-de-relance/Guide-mesures-relance-exportations.pdf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Renforcement subventions Business France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498 (16%)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389 (15%)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284 (13%)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  <w:r/>
          </w:p>
        </w:tc>
      </w:tr>
    </w:tbl>
    <w:p>
      <w:pPr>
        <w:pStyle w:val="938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977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982"/>
              <w:jc w:val="left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6" w:name="__RefHeading___Toc2166_1619785588"/>
      <w:r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5" w:tooltip="https://www.economie.gouv.fr/files/files/directions_services/plan-de-relance/Guide-mesures-relance-exportations.pdf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Soutien aux filières culturelles (cinéma, audiovisuel, musique, numérique, livre)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568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544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38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940"/>
        <w:numPr>
          <w:ilvl w:val="1"/>
          <w:numId w:val="17"/>
        </w:numPr>
        <w:rPr>
          <w:sz w:val="44"/>
          <w:szCs w:val="44"/>
        </w:rPr>
      </w:pPr>
      <w:r/>
      <w:bookmarkStart w:id="28" w:name="__RefHeading___Toc2168_1619785588"/>
      <w:r/>
      <w:bookmarkEnd w:id="28"/>
      <w:r>
        <w:rPr>
          <w:rFonts w:ascii="Marianne" w:hAnsi="Marianne"/>
          <w:sz w:val="48"/>
          <w:szCs w:val="48"/>
        </w:rPr>
        <w:t xml:space="preserve">Volet 3 : Cohésion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/>
          </w:p>
          <w:p>
            <w:pPr>
              <w:pStyle w:val="982"/>
              <w:jc w:val="both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En matière de cohésion, le plan « 1 jeune 1 solution » bénéficie à de nombreux jeun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es, avec en particulier : </w:t>
              <w:br/>
              <w:t xml:space="preserve">- 1240 primes à l’embauche de jeunes financées par France Relance,</w:t>
            </w:r>
            <w:r/>
          </w:p>
          <w:p>
            <w:pPr>
              <w:pStyle w:val="982"/>
              <w:jc w:val="both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- 1685 contrats d’apprentissage signés grâce à France Relance,</w:t>
            </w:r>
            <w:r/>
          </w:p>
          <w:p>
            <w:pPr>
              <w:pStyle w:val="982"/>
              <w:jc w:val="both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- 67 contrats de profess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ionnalisation signés,</w:t>
            </w:r>
            <w:r/>
          </w:p>
          <w:p>
            <w:pPr>
              <w:pStyle w:val="982"/>
              <w:jc w:val="both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- 53 jeunes entrés en parcours emploi compétences (PEC) jeunes,</w:t>
            </w:r>
            <w:r/>
          </w:p>
          <w:p>
            <w:pPr>
              <w:pStyle w:val="982"/>
              <w:jc w:val="both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- 89 jeunes entrés en contrats initiative emploi (CIE).</w:t>
            </w:r>
            <w:r/>
          </w:p>
          <w:p>
            <w:pPr>
              <w:pStyle w:val="982"/>
              <w:jc w:val="both"/>
              <w:spacing w:lineRule="auto" w:line="240" w:after="0" w:before="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</w:pPr>
            <w:r>
              <w:rPr>
                <w:rFonts w:ascii="Marianne" w:hAnsi="Marianne" w:cs="Marianne" w:eastAsia="Marianne"/>
                <w:b w:val="false"/>
                <w:bCs w:val="false"/>
                <w:color w:val="000000" w:themeColor="text1"/>
                <w:sz w:val="20"/>
                <w:szCs w:val="20"/>
                <w:highlight w:val="none"/>
              </w:rPr>
            </w:r>
            <w:r>
              <w:rPr>
                <w:rFonts w:ascii="Marianne" w:hAnsi="Marianne" w:cs="Marianne" w:eastAsia="Marianne"/>
                <w:b w:val="false"/>
                <w:bCs w:val="false"/>
                <w:color w:val="000000" w:themeColor="text1"/>
                <w:sz w:val="20"/>
                <w:szCs w:val="20"/>
                <w:highlight w:val="none"/>
              </w:rPr>
            </w:r>
            <w:r/>
          </w:p>
          <w:p>
            <w:pPr>
              <w:pStyle w:val="982"/>
              <w:jc w:val="both"/>
              <w:spacing w:lineRule="auto" w:line="240" w:after="0" w:before="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</w:pP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jc w:val="both"/>
              <w:spacing w:lineRule="atLeast" w:line="260" w:after="57" w:before="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France Relance soutient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3 projets de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lutte contre la pauvreté :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2 projets portés par les Restos du Cœur et 1 projet porté par Emmaüs.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jc w:val="both"/>
              <w:spacing w:lineRule="atLeast" w:line="260" w:after="57" w:before="21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jc w:val="both"/>
              <w:spacing w:lineRule="atLeast" w:line="260" w:after="57" w:before="21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En matière de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transformation numérique des collectivités et services :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jc w:val="both"/>
              <w:spacing w:lineRule="atLeast" w:line="260" w:after="57" w:before="21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- 7 structures bénéficient de conseillers numériques,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le montant total de l’aide de l’État est de 350 000 €. Il s’agit de la commune de Saint Julien Chapteuil, la communauté de communes Brioude Sud Auvergne, la communauté de communes Mézenc Loire Meygal, le Service unifié Emblavez Connect, la Communauté d’Agg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lomération du Puy-en-Velay, le centre d’animation de la vie sociale Déclic, la Mission Locale du Velay.</w:t>
            </w:r>
            <w:r/>
          </w:p>
          <w:p>
            <w:pPr>
              <w:ind w:left="0" w:right="0" w:firstLine="0"/>
              <w:jc w:val="both"/>
              <w:spacing w:lineRule="atLeast" w:line="260" w:after="57" w:before="21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-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La commune de Saint-Julien-Chapteuil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est lauréate de l’appel à manifestation d’intérêt « Fabrique des territoires » pour son projet « l’Assemblée ». Elle sera accompagnée par l’État à hauteur de 50 000 € dès 2021 puis sera de nouveau a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idée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en 2022 et 2023.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/>
          </w:p>
          <w:p>
            <w:pPr>
              <w:ind w:left="0" w:right="0" w:firstLine="0"/>
              <w:jc w:val="both"/>
              <w:spacing w:lineRule="atLeast" w:line="260" w:after="57" w:before="210"/>
              <w:rPr>
                <w:rFonts w:ascii="Marianne" w:hAnsi="Marianne" w:cs="Marianne" w:eastAsia="Marianne"/>
                <w:b w:val="fals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- L’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appel à projets pour un socle numérique dans les écoles élémentaires 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  <w:t xml:space="preserve">a remporté un grand succès avec en Haute-Loire 67 lauréats pour 79 dossiers déposés.</w:t>
            </w:r>
            <w:r>
              <w:rPr>
                <w:rFonts w:ascii="Marianne" w:hAnsi="Marianne" w:cs="Marianne" w:eastAsia="Marianne"/>
                <w:b w:val="false"/>
                <w:color w:val="000000" w:themeColor="text1"/>
                <w:sz w:val="20"/>
              </w:rPr>
            </w:r>
            <w:r/>
          </w:p>
          <w:p>
            <w:pPr>
              <w:pStyle w:val="982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</w:rPr>
            </w:r>
            <w:r>
              <w:rPr>
                <w:rFonts w:ascii="Marianne" w:hAnsi="Marianne"/>
              </w:rPr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9" w:name="__RefHeading___Toc2170_1619785588"/>
      <w:r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6" w:tooltip="https://travail-emploi.gouv.fr/demarches-ressources-documentaires/documentation-et-publications-officielles/guides/article/plan-de-relance-de-l-apprentissage-guide-pratique-pour-les-entreprises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Apprentissage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1 685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1 576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1 469 (3%)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57 538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53 741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49 399 (12%)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1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1" w:name="__RefHeading___Toc2172_1619785588"/>
      <w:r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7" w:tooltip="https://www.economie.gouv.fr/plan-de-relance/profils/entreprises/aide-embauche-jeune-contrat-initiative-emploi-cie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Initiatives Emploi (CIE) Jeunes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89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59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41 (4%)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1 991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1 404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914 (9%)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20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3" w:name="__RefHeading___Toc2174_1619785588"/>
      <w:r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8" w:tooltip="https://travail-emploi.gouv.fr/formation-professionnelle/entreprise-et-alternance/aide-exceptionnelle-contrat-pro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de professionnalisation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59 (1%)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 (1%)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6 085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5 553 (13%)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4 703 (12%)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2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5" w:name="__RefHeading___Toc2176_1619785588"/>
      <w:r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29" w:tooltip="https://travail-emploi.gouv.fr/emploi/mesures-jeunes/garantiejeunes/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Garantie jeunes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277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230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175 (3%)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8 115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6 629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5 258 (9%)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2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7" w:name="__RefHeading___Toc2178_1619785588"/>
      <w:r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30" w:tooltip="https://www.economie.gouv.fr/plan-de-relance/insertion-personnes-eloignees-emploi-pec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Parcours emploi compétences (PEC) Jeunes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40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31 (3%)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1 300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1 111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889 (8%)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2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9" w:name="__RefHeading___Toc2180_1619785588"/>
      <w:r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31" w:tooltip="https://www.economie.gouv.fr/plan-de-relance/profils/entreprises/aide-embauche-jeunes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des jeunes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1 240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1 050 (2%)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869 (2%)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57 349 (15%)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49 341 (15%)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39 113 (14%)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2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1" w:name="__RefHeading___Toc2182_1619785588"/>
      <w:r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32" w:tooltip="https://www.economie.gouv.fr/entreprises/aide-mobilisation-employeurs-embauche-travailleurs-handicapes-plan-relance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pour les travailleurs handicapés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113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90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80 (7%)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1 651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1 365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1 159 (14%)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  <w:r/>
          </w:p>
        </w:tc>
      </w:tr>
    </w:tbl>
    <w:p>
      <w:pPr>
        <w:pStyle w:val="983"/>
      </w:pPr>
      <w:r>
        <w:br w:type="page"/>
      </w:r>
      <w:r/>
    </w:p>
    <w:p>
      <w:pPr>
        <w:pStyle w:val="941"/>
        <w:numPr>
          <w:ilvl w:val="2"/>
          <w:numId w:val="2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3" w:name="__RefHeading___Toc2184_1619785588"/>
      <w:r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33" w:tooltip="https://www.economie.gouv.fr/plan-de-relance/profils/administrations/financement-nouvelles-missions-service-civique" w:history="1">
        <w:r>
          <w:rPr>
            <w:rStyle w:val="964"/>
            <w:rFonts w:ascii="Marianne" w:hAnsi="Marianne" w:cs="Marianne"/>
            <w:color w:val="00A65D"/>
            <w:sz w:val="40"/>
            <w:szCs w:val="40"/>
            <w:u w:val="single"/>
          </w:rPr>
          <w:t xml:space="preserve">Service civique</w:t>
        </w:r>
      </w:hyperlink>
      <w:r/>
      <w:r/>
    </w:p>
    <w:p>
      <w:pPr>
        <w:pStyle w:val="938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938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241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241 (3%)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216 (3%)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7 125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7 125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Style w:val="962"/>
                <w:rFonts w:ascii="Marianne" w:hAnsi="Marianne" w:cs="Arial"/>
                <w:sz w:val="20"/>
                <w:szCs w:val="20"/>
              </w:rPr>
              <w:t xml:space="preserve">6 559 (9%)  </w:t>
            </w:r>
            <w:r/>
          </w:p>
        </w:tc>
      </w:tr>
    </w:tbl>
    <w:p>
      <w:pPr>
        <w:pStyle w:val="938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988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976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938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  <w:r/>
          </w:p>
        </w:tc>
      </w:tr>
    </w:tbl>
    <w:p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06" w:bottom="1417" w:left="1144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ans cjk sc">
    <w:panose1 w:val="020B0603030804020204"/>
  </w:font>
  <w:font w:name="Marianne">
    <w:panose1 w:val="02000000000000000000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Calibri Light">
    <w:panose1 w:val="020F05020202040302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rFonts w:ascii="Marianne" w:hAnsi="Marianne"/>
        <w:sz w:val="22"/>
        <w:szCs w:val="22"/>
      </w:rPr>
      <w:instrText xml:space="preserve"> PAGE </w:instrText>
    </w:r>
    <w:r>
      <w:rPr>
        <w:rFonts w:ascii="Marianne" w:hAnsi="Marianne"/>
        <w:sz w:val="22"/>
        <w:szCs w:val="22"/>
      </w:rPr>
      <w:fldChar w:fldCharType="separate"/>
    </w:r>
    <w:r>
      <w:rPr>
        <w:rFonts w:ascii="Marianne" w:hAnsi="Marianne"/>
        <w:sz w:val="22"/>
        <w:szCs w:val="22"/>
      </w:rPr>
      <w:t xml:space="preserve">26</w:t>
    </w:r>
    <w:r>
      <w:rPr>
        <w:rFonts w:ascii="Marianne" w:hAnsi="Marianne"/>
        <w:sz w:val="22"/>
        <w:szCs w:val="2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3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27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-211455</wp:posOffset>
              </wp:positionV>
              <wp:extent cx="660400" cy="596265"/>
              <wp:effectExtent l="0" t="0" r="0" b="0"/>
              <wp:wrapTight wrapText="bothSides">
                <wp:wrapPolygon edited="1">
                  <wp:start x="-630" y="0"/>
                  <wp:lineTo x="-630" y="20684"/>
                  <wp:lineTo x="20573" y="20684"/>
                  <wp:lineTo x="20573" y="0"/>
                  <wp:lineTo x="-630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60400" cy="596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27;o:allowoverlap:true;o:allowincell:true;mso-position-horizontal-relative:text;margin-left:-28.4pt;mso-position-horizontal:absolute;mso-position-vertical-relative:text;margin-top:-16.6pt;mso-position-vertical:absolute;width:52.0pt;height:46.9pt;" wrapcoords="-2916 0 -2916 95759 95245 95759 95245 0 -2916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3" behindDoc="0" locked="0" layoutInCell="1" allowOverlap="1">
              <wp:simplePos x="0" y="0"/>
              <wp:positionH relativeFrom="column">
                <wp:posOffset>4972685</wp:posOffset>
              </wp:positionH>
              <wp:positionV relativeFrom="paragraph">
                <wp:posOffset>-260350</wp:posOffset>
              </wp:positionV>
              <wp:extent cx="963930" cy="642620"/>
              <wp:effectExtent l="0" t="0" r="0" b="0"/>
              <wp:wrapTight wrapText="bothSides">
                <wp:wrapPolygon edited="1">
                  <wp:start x="-1262" y="0"/>
                  <wp:lineTo x="-1262" y="19299"/>
                  <wp:lineTo x="20085" y="19299"/>
                  <wp:lineTo x="20085" y="0"/>
                  <wp:lineTo x="-1262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63930" cy="642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3;o:allowoverlap:true;o:allowincell:true;mso-position-horizontal-relative:text;margin-left:391.5pt;mso-position-horizontal:absolute;mso-position-vertical-relative:text;margin-top:-20.5pt;mso-position-vertical:absolute;width:75.9pt;height:50.6pt;" wrapcoords="-5842 0 -5842 89347 92986 89347 92986 0 -5842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940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941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1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1">
    <w:name w:val="Heading 1 Char"/>
    <w:basedOn w:val="942"/>
    <w:link w:val="939"/>
    <w:uiPriority w:val="9"/>
    <w:rPr>
      <w:rFonts w:ascii="Arial" w:hAnsi="Arial" w:cs="Arial" w:eastAsia="Arial"/>
      <w:sz w:val="40"/>
      <w:szCs w:val="40"/>
    </w:rPr>
  </w:style>
  <w:style w:type="character" w:styleId="772">
    <w:name w:val="Heading 2 Char"/>
    <w:basedOn w:val="942"/>
    <w:link w:val="940"/>
    <w:uiPriority w:val="9"/>
    <w:rPr>
      <w:rFonts w:ascii="Arial" w:hAnsi="Arial" w:cs="Arial" w:eastAsia="Arial"/>
      <w:sz w:val="34"/>
    </w:rPr>
  </w:style>
  <w:style w:type="character" w:styleId="773">
    <w:name w:val="Heading 3 Char"/>
    <w:basedOn w:val="942"/>
    <w:link w:val="941"/>
    <w:uiPriority w:val="9"/>
    <w:rPr>
      <w:rFonts w:ascii="Arial" w:hAnsi="Arial" w:cs="Arial" w:eastAsia="Arial"/>
      <w:sz w:val="30"/>
      <w:szCs w:val="30"/>
    </w:rPr>
  </w:style>
  <w:style w:type="paragraph" w:styleId="774">
    <w:name w:val="Heading 4"/>
    <w:basedOn w:val="938"/>
    <w:next w:val="938"/>
    <w:link w:val="77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75">
    <w:name w:val="Heading 4 Char"/>
    <w:basedOn w:val="942"/>
    <w:link w:val="774"/>
    <w:uiPriority w:val="9"/>
    <w:rPr>
      <w:rFonts w:ascii="Arial" w:hAnsi="Arial" w:cs="Arial" w:eastAsia="Arial"/>
      <w:b/>
      <w:bCs/>
      <w:sz w:val="26"/>
      <w:szCs w:val="26"/>
    </w:rPr>
  </w:style>
  <w:style w:type="paragraph" w:styleId="776">
    <w:name w:val="Heading 5"/>
    <w:basedOn w:val="938"/>
    <w:next w:val="938"/>
    <w:link w:val="77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77">
    <w:name w:val="Heading 5 Char"/>
    <w:basedOn w:val="942"/>
    <w:link w:val="776"/>
    <w:uiPriority w:val="9"/>
    <w:rPr>
      <w:rFonts w:ascii="Arial" w:hAnsi="Arial" w:cs="Arial" w:eastAsia="Arial"/>
      <w:b/>
      <w:bCs/>
      <w:sz w:val="24"/>
      <w:szCs w:val="24"/>
    </w:rPr>
  </w:style>
  <w:style w:type="paragraph" w:styleId="778">
    <w:name w:val="Heading 6"/>
    <w:basedOn w:val="938"/>
    <w:next w:val="938"/>
    <w:link w:val="7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79">
    <w:name w:val="Heading 6 Char"/>
    <w:basedOn w:val="942"/>
    <w:link w:val="778"/>
    <w:uiPriority w:val="9"/>
    <w:rPr>
      <w:rFonts w:ascii="Arial" w:hAnsi="Arial" w:cs="Arial" w:eastAsia="Arial"/>
      <w:b/>
      <w:bCs/>
      <w:sz w:val="22"/>
      <w:szCs w:val="22"/>
    </w:rPr>
  </w:style>
  <w:style w:type="paragraph" w:styleId="780">
    <w:name w:val="Heading 7"/>
    <w:basedOn w:val="938"/>
    <w:next w:val="938"/>
    <w:link w:val="7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81">
    <w:name w:val="Heading 7 Char"/>
    <w:basedOn w:val="942"/>
    <w:link w:val="7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82">
    <w:name w:val="Heading 8"/>
    <w:basedOn w:val="938"/>
    <w:next w:val="938"/>
    <w:link w:val="78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83">
    <w:name w:val="Heading 8 Char"/>
    <w:basedOn w:val="942"/>
    <w:link w:val="782"/>
    <w:uiPriority w:val="9"/>
    <w:rPr>
      <w:rFonts w:ascii="Arial" w:hAnsi="Arial" w:cs="Arial" w:eastAsia="Arial"/>
      <w:i/>
      <w:iCs/>
      <w:sz w:val="22"/>
      <w:szCs w:val="22"/>
    </w:rPr>
  </w:style>
  <w:style w:type="paragraph" w:styleId="784">
    <w:name w:val="Heading 9"/>
    <w:basedOn w:val="938"/>
    <w:next w:val="938"/>
    <w:link w:val="78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85">
    <w:name w:val="Heading 9 Char"/>
    <w:basedOn w:val="942"/>
    <w:link w:val="784"/>
    <w:uiPriority w:val="9"/>
    <w:rPr>
      <w:rFonts w:ascii="Arial" w:hAnsi="Arial" w:cs="Arial" w:eastAsia="Arial"/>
      <w:i/>
      <w:iCs/>
      <w:sz w:val="21"/>
      <w:szCs w:val="21"/>
    </w:rPr>
  </w:style>
  <w:style w:type="paragraph" w:styleId="786">
    <w:name w:val="List Paragraph"/>
    <w:basedOn w:val="938"/>
    <w:qFormat/>
    <w:uiPriority w:val="34"/>
    <w:pPr>
      <w:contextualSpacing w:val="true"/>
      <w:ind w:left="720"/>
    </w:pPr>
  </w:style>
  <w:style w:type="paragraph" w:styleId="787">
    <w:name w:val="No Spacing"/>
    <w:qFormat/>
    <w:uiPriority w:val="1"/>
    <w:pPr>
      <w:spacing w:lineRule="auto" w:line="240" w:after="0" w:before="0"/>
    </w:pPr>
  </w:style>
  <w:style w:type="character" w:styleId="788">
    <w:name w:val="Title Char"/>
    <w:basedOn w:val="942"/>
    <w:link w:val="971"/>
    <w:uiPriority w:val="10"/>
    <w:rPr>
      <w:sz w:val="48"/>
      <w:szCs w:val="48"/>
    </w:rPr>
  </w:style>
  <w:style w:type="paragraph" w:styleId="789">
    <w:name w:val="Subtitle"/>
    <w:basedOn w:val="938"/>
    <w:next w:val="938"/>
    <w:link w:val="790"/>
    <w:qFormat/>
    <w:uiPriority w:val="11"/>
    <w:rPr>
      <w:sz w:val="24"/>
      <w:szCs w:val="24"/>
    </w:rPr>
    <w:pPr>
      <w:spacing w:after="200" w:before="200"/>
    </w:pPr>
  </w:style>
  <w:style w:type="character" w:styleId="790">
    <w:name w:val="Subtitle Char"/>
    <w:basedOn w:val="942"/>
    <w:link w:val="789"/>
    <w:uiPriority w:val="11"/>
    <w:rPr>
      <w:sz w:val="24"/>
      <w:szCs w:val="24"/>
    </w:rPr>
  </w:style>
  <w:style w:type="paragraph" w:styleId="791">
    <w:name w:val="Quote"/>
    <w:basedOn w:val="938"/>
    <w:next w:val="938"/>
    <w:link w:val="792"/>
    <w:qFormat/>
    <w:uiPriority w:val="29"/>
    <w:rPr>
      <w:i/>
    </w:rPr>
    <w:pPr>
      <w:ind w:left="720" w:right="720"/>
    </w:pPr>
  </w:style>
  <w:style w:type="character" w:styleId="792">
    <w:name w:val="Quote Char"/>
    <w:link w:val="791"/>
    <w:uiPriority w:val="29"/>
    <w:rPr>
      <w:i/>
    </w:rPr>
  </w:style>
  <w:style w:type="paragraph" w:styleId="793">
    <w:name w:val="Intense Quote"/>
    <w:basedOn w:val="938"/>
    <w:next w:val="938"/>
    <w:link w:val="79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94">
    <w:name w:val="Intense Quote Char"/>
    <w:link w:val="793"/>
    <w:uiPriority w:val="30"/>
    <w:rPr>
      <w:i/>
    </w:rPr>
  </w:style>
  <w:style w:type="character" w:styleId="795">
    <w:name w:val="Header Char"/>
    <w:basedOn w:val="942"/>
    <w:link w:val="973"/>
    <w:uiPriority w:val="99"/>
  </w:style>
  <w:style w:type="character" w:styleId="796">
    <w:name w:val="Footer Char"/>
    <w:basedOn w:val="942"/>
    <w:link w:val="974"/>
    <w:uiPriority w:val="99"/>
  </w:style>
  <w:style w:type="character" w:styleId="797">
    <w:name w:val="Caption Char"/>
    <w:basedOn w:val="972"/>
    <w:link w:val="974"/>
    <w:uiPriority w:val="99"/>
  </w:style>
  <w:style w:type="table" w:styleId="798">
    <w:name w:val="Table Grid Light"/>
    <w:basedOn w:val="98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9">
    <w:name w:val="Plain Table 1"/>
    <w:basedOn w:val="98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0">
    <w:name w:val="Plain Table 2"/>
    <w:basedOn w:val="98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1">
    <w:name w:val="Plain Table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2">
    <w:name w:val="Plain Table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Plain Table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04">
    <w:name w:val="Grid Table 1 Light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Grid Table 2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Grid Table 2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Grid Table 2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Grid Table 2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6">
    <w:name w:val="Grid Table 2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7">
    <w:name w:val="Grid Table 2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Grid Table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Grid Table 3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Grid Table 3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Grid Table 3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Grid Table 3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Grid Table 3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Grid Table 3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Grid Table 4"/>
    <w:basedOn w:val="9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26">
    <w:name w:val="Grid Table 4 - Accent 1"/>
    <w:basedOn w:val="9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27">
    <w:name w:val="Grid Table 4 - Accent 2"/>
    <w:basedOn w:val="9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28">
    <w:name w:val="Grid Table 4 - Accent 3"/>
    <w:basedOn w:val="9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29">
    <w:name w:val="Grid Table 4 - Accent 4"/>
    <w:basedOn w:val="9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30">
    <w:name w:val="Grid Table 4 - Accent 5"/>
    <w:basedOn w:val="9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31">
    <w:name w:val="Grid Table 4 - Accent 6"/>
    <w:basedOn w:val="9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32">
    <w:name w:val="Grid Table 5 Dark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33">
    <w:name w:val="Grid Table 5 Dark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4">
    <w:name w:val="Grid Table 5 Dark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35">
    <w:name w:val="Grid Table 5 Dark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36">
    <w:name w:val="Grid Table 5 Dark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37">
    <w:name w:val="Grid Table 5 Dark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38">
    <w:name w:val="Grid Table 5 Dark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39">
    <w:name w:val="Grid Table 6 Colorful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0">
    <w:name w:val="Grid Table 6 Colorful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1">
    <w:name w:val="Grid Table 6 Colorful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2">
    <w:name w:val="Grid Table 6 Colorful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3">
    <w:name w:val="Grid Table 6 Colorful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4">
    <w:name w:val="Grid Table 6 Colorful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5">
    <w:name w:val="Grid Table 6 Colorful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6">
    <w:name w:val="Grid Table 7 Colorful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47">
    <w:name w:val="Grid Table 7 Colorful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48">
    <w:name w:val="Grid Table 7 Colorful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49">
    <w:name w:val="Grid Table 7 Colorful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50">
    <w:name w:val="Grid Table 7 Colorful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51">
    <w:name w:val="Grid Table 7 Colorful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52">
    <w:name w:val="Grid Table 7 Colorful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53">
    <w:name w:val="List Table 1 Light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54">
    <w:name w:val="List Table 1 Light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55">
    <w:name w:val="List Table 1 Light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56">
    <w:name w:val="List Table 1 Light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57">
    <w:name w:val="List Table 1 Light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58">
    <w:name w:val="List Table 1 Light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59">
    <w:name w:val="List Table 1 Light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60">
    <w:name w:val="List Table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61">
    <w:name w:val="List Table 2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62">
    <w:name w:val="List Table 2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63">
    <w:name w:val="List Table 2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64">
    <w:name w:val="List Table 2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65">
    <w:name w:val="List Table 2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66">
    <w:name w:val="List Table 2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67">
    <w:name w:val="List Table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5 Dark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6 Colorful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89">
    <w:name w:val="List Table 6 Colorful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90">
    <w:name w:val="List Table 6 Colorful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91">
    <w:name w:val="List Table 6 Colorful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92">
    <w:name w:val="List Table 6 Colorful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93">
    <w:name w:val="List Table 6 Colorful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94">
    <w:name w:val="List Table 6 Colorful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95">
    <w:name w:val="List Table 7 Colorful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6">
    <w:name w:val="List Table 7 Colorful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97">
    <w:name w:val="List Table 7 Colorful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8">
    <w:name w:val="List Table 7 Colorful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9">
    <w:name w:val="List Table 7 Colorful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00">
    <w:name w:val="List Table 7 Colorful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01">
    <w:name w:val="List Table 7 Colorful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02">
    <w:name w:val="Lined - Accent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903">
    <w:name w:val="Lined - Accent 1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904">
    <w:name w:val="Lined - Accent 2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905">
    <w:name w:val="Lined - Accent 3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906">
    <w:name w:val="Lined - Accent 4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907">
    <w:name w:val="Lined - Accent 5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908">
    <w:name w:val="Lined - Accent 6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909">
    <w:name w:val="Bordered &amp; Lined - Accent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910">
    <w:name w:val="Bordered &amp; Lined - Accent 1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911">
    <w:name w:val="Bordered &amp; Lined - Accent 2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912">
    <w:name w:val="Bordered &amp; Lined - Accent 3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913">
    <w:name w:val="Bordered &amp; Lined - Accent 4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914">
    <w:name w:val="Bordered &amp; Lined - Accent 5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915">
    <w:name w:val="Bordered &amp; Lined - Accent 6"/>
    <w:basedOn w:val="9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916">
    <w:name w:val="Bordered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17">
    <w:name w:val="Bordered - Accent 1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18">
    <w:name w:val="Bordered - Accent 2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19">
    <w:name w:val="Bordered - Accent 3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20">
    <w:name w:val="Bordered - Accent 4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21">
    <w:name w:val="Bordered - Accent 5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22">
    <w:name w:val="Bordered - Accent 6"/>
    <w:basedOn w:val="9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923">
    <w:name w:val="Hyperlink"/>
    <w:uiPriority w:val="99"/>
    <w:unhideWhenUsed/>
    <w:rPr>
      <w:color w:val="0000FF" w:themeColor="hyperlink"/>
      <w:u w:val="single"/>
    </w:rPr>
  </w:style>
  <w:style w:type="paragraph" w:styleId="924">
    <w:name w:val="footnote text"/>
    <w:basedOn w:val="938"/>
    <w:link w:val="925"/>
    <w:uiPriority w:val="99"/>
    <w:semiHidden/>
    <w:unhideWhenUsed/>
    <w:rPr>
      <w:sz w:val="18"/>
    </w:rPr>
    <w:pPr>
      <w:spacing w:lineRule="auto" w:line="240" w:after="40"/>
    </w:pPr>
  </w:style>
  <w:style w:type="character" w:styleId="925">
    <w:name w:val="Footnote Text Char"/>
    <w:link w:val="924"/>
    <w:uiPriority w:val="99"/>
    <w:rPr>
      <w:sz w:val="18"/>
    </w:rPr>
  </w:style>
  <w:style w:type="character" w:styleId="926">
    <w:name w:val="footnote reference"/>
    <w:basedOn w:val="942"/>
    <w:uiPriority w:val="99"/>
    <w:unhideWhenUsed/>
    <w:rPr>
      <w:vertAlign w:val="superscript"/>
    </w:rPr>
  </w:style>
  <w:style w:type="paragraph" w:styleId="927">
    <w:name w:val="endnote text"/>
    <w:basedOn w:val="938"/>
    <w:link w:val="928"/>
    <w:uiPriority w:val="99"/>
    <w:semiHidden/>
    <w:unhideWhenUsed/>
    <w:rPr>
      <w:sz w:val="20"/>
    </w:rPr>
    <w:pPr>
      <w:spacing w:lineRule="auto" w:line="240" w:after="0"/>
    </w:pPr>
  </w:style>
  <w:style w:type="character" w:styleId="928">
    <w:name w:val="Endnote Text Char"/>
    <w:link w:val="927"/>
    <w:uiPriority w:val="99"/>
    <w:rPr>
      <w:sz w:val="20"/>
    </w:rPr>
  </w:style>
  <w:style w:type="character" w:styleId="929">
    <w:name w:val="endnote reference"/>
    <w:basedOn w:val="942"/>
    <w:uiPriority w:val="99"/>
    <w:semiHidden/>
    <w:unhideWhenUsed/>
    <w:rPr>
      <w:vertAlign w:val="superscript"/>
    </w:rPr>
  </w:style>
  <w:style w:type="paragraph" w:styleId="930">
    <w:name w:val="toc 1"/>
    <w:basedOn w:val="938"/>
    <w:next w:val="938"/>
    <w:uiPriority w:val="39"/>
    <w:unhideWhenUsed/>
    <w:pPr>
      <w:ind w:left="0" w:right="0" w:firstLine="0"/>
      <w:spacing w:after="57"/>
    </w:pPr>
  </w:style>
  <w:style w:type="paragraph" w:styleId="931">
    <w:name w:val="toc 4"/>
    <w:basedOn w:val="938"/>
    <w:next w:val="938"/>
    <w:uiPriority w:val="39"/>
    <w:unhideWhenUsed/>
    <w:pPr>
      <w:ind w:left="850" w:right="0" w:firstLine="0"/>
      <w:spacing w:after="57"/>
    </w:pPr>
  </w:style>
  <w:style w:type="paragraph" w:styleId="932">
    <w:name w:val="toc 5"/>
    <w:basedOn w:val="938"/>
    <w:next w:val="938"/>
    <w:uiPriority w:val="39"/>
    <w:unhideWhenUsed/>
    <w:pPr>
      <w:ind w:left="1134" w:right="0" w:firstLine="0"/>
      <w:spacing w:after="57"/>
    </w:pPr>
  </w:style>
  <w:style w:type="paragraph" w:styleId="933">
    <w:name w:val="toc 6"/>
    <w:basedOn w:val="938"/>
    <w:next w:val="938"/>
    <w:uiPriority w:val="39"/>
    <w:unhideWhenUsed/>
    <w:pPr>
      <w:ind w:left="1417" w:right="0" w:firstLine="0"/>
      <w:spacing w:after="57"/>
    </w:pPr>
  </w:style>
  <w:style w:type="paragraph" w:styleId="934">
    <w:name w:val="toc 7"/>
    <w:basedOn w:val="938"/>
    <w:next w:val="938"/>
    <w:uiPriority w:val="39"/>
    <w:unhideWhenUsed/>
    <w:pPr>
      <w:ind w:left="1701" w:right="0" w:firstLine="0"/>
      <w:spacing w:after="57"/>
    </w:pPr>
  </w:style>
  <w:style w:type="paragraph" w:styleId="935">
    <w:name w:val="toc 8"/>
    <w:basedOn w:val="938"/>
    <w:next w:val="938"/>
    <w:uiPriority w:val="39"/>
    <w:unhideWhenUsed/>
    <w:pPr>
      <w:ind w:left="1984" w:right="0" w:firstLine="0"/>
      <w:spacing w:after="57"/>
    </w:pPr>
  </w:style>
  <w:style w:type="paragraph" w:styleId="936">
    <w:name w:val="toc 9"/>
    <w:basedOn w:val="938"/>
    <w:next w:val="938"/>
    <w:uiPriority w:val="39"/>
    <w:unhideWhenUsed/>
    <w:pPr>
      <w:ind w:left="2268" w:right="0" w:firstLine="0"/>
      <w:spacing w:after="57"/>
    </w:pPr>
  </w:style>
  <w:style w:type="paragraph" w:styleId="937">
    <w:name w:val="table of figures"/>
    <w:basedOn w:val="938"/>
    <w:next w:val="938"/>
    <w:uiPriority w:val="99"/>
    <w:unhideWhenUsed/>
    <w:pPr>
      <w:spacing w:after="0" w:afterAutospacing="0"/>
    </w:pPr>
  </w:style>
  <w:style w:type="paragraph" w:styleId="938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paragraph" w:styleId="939">
    <w:name w:val="Heading 1"/>
    <w:basedOn w:val="938"/>
    <w:next w:val="938"/>
    <w:link w:val="950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940">
    <w:name w:val="Heading 2"/>
    <w:basedOn w:val="966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941">
    <w:name w:val="Heading 3"/>
    <w:basedOn w:val="966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942" w:default="1">
    <w:name w:val="Default Paragraph Font"/>
    <w:qFormat/>
    <w:uiPriority w:val="1"/>
    <w:semiHidden/>
    <w:unhideWhenUsed/>
  </w:style>
  <w:style w:type="character" w:styleId="943" w:customStyle="1">
    <w:name w:val="En-tête Car"/>
    <w:basedOn w:val="942"/>
    <w:qFormat/>
    <w:uiPriority w:val="99"/>
  </w:style>
  <w:style w:type="character" w:styleId="944" w:customStyle="1">
    <w:name w:val="Pied de page Car"/>
    <w:basedOn w:val="942"/>
    <w:link w:val="974"/>
    <w:qFormat/>
    <w:uiPriority w:val="99"/>
  </w:style>
  <w:style w:type="character" w:styleId="945" w:customStyle="1">
    <w:name w:val="Préformaté HTML Car"/>
    <w:basedOn w:val="942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946" w:customStyle="1">
    <w:name w:val="p"/>
    <w:basedOn w:val="942"/>
    <w:qFormat/>
  </w:style>
  <w:style w:type="character" w:styleId="947" w:customStyle="1">
    <w:name w:val="o"/>
    <w:basedOn w:val="942"/>
    <w:qFormat/>
  </w:style>
  <w:style w:type="character" w:styleId="948" w:customStyle="1">
    <w:name w:val="n"/>
    <w:basedOn w:val="942"/>
    <w:qFormat/>
  </w:style>
  <w:style w:type="character" w:styleId="949" w:customStyle="1">
    <w:name w:val="k"/>
    <w:basedOn w:val="942"/>
    <w:qFormat/>
  </w:style>
  <w:style w:type="character" w:styleId="950" w:customStyle="1">
    <w:name w:val="Titre 1 Car"/>
    <w:basedOn w:val="942"/>
    <w:link w:val="939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951">
    <w:name w:val="Lien Internet"/>
    <w:rPr>
      <w:color w:val="000080"/>
      <w:u w:val="single"/>
    </w:rPr>
  </w:style>
  <w:style w:type="character" w:styleId="952">
    <w:name w:val="Lien Internet visité"/>
    <w:rPr>
      <w:color w:val="800000"/>
      <w:u w:val="single"/>
    </w:rPr>
  </w:style>
  <w:style w:type="character" w:styleId="953">
    <w:name w:val="ListLabel 1"/>
    <w:qFormat/>
    <w:rPr>
      <w:rFonts w:ascii="Arial" w:hAnsi="Arial" w:cs="Arial"/>
      <w:i/>
      <w:iCs/>
      <w:sz w:val="40"/>
      <w:szCs w:val="40"/>
    </w:rPr>
  </w:style>
  <w:style w:type="character" w:styleId="954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955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956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957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958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59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60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61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62">
    <w:name w:val="Texte source"/>
    <w:qFormat/>
    <w:rPr>
      <w:rFonts w:ascii="Liberation Mono" w:hAnsi="Liberation Mono" w:cs="Liberation Mono" w:eastAsia="Liberation Mono"/>
    </w:rPr>
  </w:style>
  <w:style w:type="character" w:styleId="963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964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965">
    <w:name w:val="Saut d'index"/>
    <w:qFormat/>
  </w:style>
  <w:style w:type="paragraph" w:styleId="966">
    <w:name w:val="Titre"/>
    <w:basedOn w:val="938"/>
    <w:next w:val="967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967">
    <w:name w:val="Body Text"/>
    <w:basedOn w:val="938"/>
    <w:pPr>
      <w:spacing w:lineRule="auto" w:line="276" w:after="140" w:before="0"/>
    </w:pPr>
  </w:style>
  <w:style w:type="paragraph" w:styleId="968">
    <w:name w:val="List"/>
    <w:basedOn w:val="967"/>
    <w:rPr>
      <w:rFonts w:cs="Lohit Devanagari"/>
    </w:rPr>
  </w:style>
  <w:style w:type="paragraph" w:styleId="969">
    <w:name w:val="Caption"/>
    <w:basedOn w:val="93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70" w:customStyle="1">
    <w:name w:val="Index"/>
    <w:basedOn w:val="938"/>
    <w:qFormat/>
    <w:rPr>
      <w:rFonts w:cs="Lohit Devanagari"/>
    </w:rPr>
    <w:pPr>
      <w:suppressLineNumbers/>
    </w:pPr>
  </w:style>
  <w:style w:type="paragraph" w:styleId="971">
    <w:name w:val="Title"/>
    <w:basedOn w:val="938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972">
    <w:name w:val="Caption"/>
    <w:basedOn w:val="938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973">
    <w:name w:val="Header"/>
    <w:basedOn w:val="938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974">
    <w:name w:val="Footer"/>
    <w:basedOn w:val="938"/>
    <w:link w:val="944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975">
    <w:name w:val="HTML Preformatted"/>
    <w:basedOn w:val="938"/>
    <w:link w:val="945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976" w:customStyle="1">
    <w:name w:val="Obsah tabulky"/>
    <w:basedOn w:val="938"/>
    <w:qFormat/>
    <w:pPr>
      <w:suppressLineNumbers/>
    </w:pPr>
  </w:style>
  <w:style w:type="paragraph" w:styleId="977" w:customStyle="1">
    <w:name w:val="Contenu de tableau"/>
    <w:basedOn w:val="938"/>
    <w:qFormat/>
    <w:pPr>
      <w:suppressLineNumbers/>
    </w:pPr>
  </w:style>
  <w:style w:type="paragraph" w:styleId="978">
    <w:name w:val="toa heading"/>
    <w:basedOn w:val="971"/>
    <w:qFormat/>
    <w:rPr>
      <w:b/>
      <w:bCs/>
      <w:sz w:val="32"/>
      <w:szCs w:val="32"/>
    </w:rPr>
    <w:pPr>
      <w:suppressLineNumbers/>
    </w:pPr>
  </w:style>
  <w:style w:type="paragraph" w:styleId="979">
    <w:name w:val="TOC Heading"/>
    <w:basedOn w:val="939"/>
    <w:next w:val="938"/>
    <w:qFormat/>
    <w:uiPriority w:val="39"/>
    <w:unhideWhenUsed/>
    <w:rPr>
      <w:lang w:eastAsia="fr-FR"/>
    </w:rPr>
  </w:style>
  <w:style w:type="paragraph" w:styleId="980">
    <w:name w:val="Custom_style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981">
    <w:name w:val="03_texte-courant"/>
    <w:basedOn w:val="938"/>
    <w:qFormat/>
    <w:rPr>
      <w:rFonts w:ascii="Arial" w:hAnsi="Arial" w:cs="Arial" w:eastAsia="Calibri"/>
      <w:bCs/>
      <w:color w:val="000000" w:themeColor="text1"/>
      <w:sz w:val="20"/>
      <w:szCs w:val="20"/>
    </w:rPr>
    <w:pPr>
      <w:jc w:val="both"/>
      <w:spacing w:lineRule="exact" w:line="260" w:after="80" w:before="120"/>
      <w:widowControl w:val="off"/>
    </w:pPr>
  </w:style>
  <w:style w:type="paragraph" w:styleId="982">
    <w:name w:val="Contenu de cadre"/>
    <w:basedOn w:val="938"/>
    <w:qFormat/>
  </w:style>
  <w:style w:type="paragraph" w:styleId="983" w:customStyle="1">
    <w:name w:val="Custom_style2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984">
    <w:name w:val="toc 2"/>
    <w:basedOn w:val="970"/>
    <w:pPr>
      <w:ind w:left="283" w:firstLine="0"/>
      <w:tabs>
        <w:tab w:val="right" w:pos="9073" w:leader="dot"/>
      </w:tabs>
    </w:pPr>
  </w:style>
  <w:style w:type="paragraph" w:styleId="985">
    <w:name w:val="toc 3"/>
    <w:basedOn w:val="970"/>
    <w:pPr>
      <w:ind w:left="566" w:firstLine="0"/>
      <w:tabs>
        <w:tab w:val="right" w:pos="8790" w:leader="dot"/>
      </w:tabs>
    </w:pPr>
  </w:style>
  <w:style w:type="numbering" w:styleId="986" w:default="1">
    <w:name w:val="No List"/>
    <w:qFormat/>
    <w:uiPriority w:val="99"/>
    <w:semiHidden/>
    <w:unhideWhenUsed/>
  </w:style>
  <w:style w:type="table" w:styleId="9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988">
    <w:name w:val="Table Grid"/>
    <w:basedOn w:val="987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particuliers/maprimerenov" TargetMode="External"/><Relationship Id="rId15" Type="http://schemas.openxmlformats.org/officeDocument/2006/relationships/hyperlink" Target="https://www.entreprises.gouv.fr/fr/actualites/industrie/fonds-de-soutien-aux-filieres-automobile-et-aeronautique-205-nouveaux-laureats" TargetMode="External"/><Relationship Id="rId16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fonds-recyclage-friches" TargetMode="External"/><Relationship Id="rId19" Type="http://schemas.openxmlformats.org/officeDocument/2006/relationships/hyperlink" Target="https://www.economie.gouv.fr/plan-de-relance/profils/administrations/renovation-energetique-batiments-publics" TargetMode="External"/><Relationship Id="rId20" Type="http://schemas.openxmlformats.org/officeDocument/2006/relationships/hyperlink" Target="https://www.entreprises.gouv.fr/fr/industrie/politique-industrielle/territoires-d-industrie" TargetMode="External"/><Relationship Id="rId2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2" Type="http://schemas.openxmlformats.org/officeDocument/2006/relationships/hyperlink" Target="https://www.economie.gouv.fr/plan-de-relance/profils/entreprises/aides-francenum-transformation-numerique" TargetMode="External"/><Relationship Id="rId23" Type="http://schemas.openxmlformats.org/officeDocument/2006/relationships/hyperlink" Target="https://www.economie.gouv.fr/plan-de-relance/profils/entreprises/aide-investissement-industrie-du-futur" TargetMode="External"/><Relationship Id="rId24" Type="http://schemas.openxmlformats.org/officeDocument/2006/relationships/hyperlink" Target="https://www.economie.gouv.fr/files/files/directions_services/plan-de-relance/Guide-mesures-relance-exportations.pdf" TargetMode="External"/><Relationship Id="rId25" Type="http://schemas.openxmlformats.org/officeDocument/2006/relationships/hyperlink" Target="https://www.economie.gouv.fr/files/files/directions_services/plan-de-relance/Guide-mesures-relance-exportations.pdf" TargetMode="External"/><Relationship Id="rId2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travail-emploi.gouv.fr/formation-professionnelle/entreprise-et-alternance/aide-exceptionnelle-contrat-pro" TargetMode="External"/><Relationship Id="rId29" Type="http://schemas.openxmlformats.org/officeDocument/2006/relationships/hyperlink" Target="https://travail-emploi.gouv.fr/emploi/mesures-jeunes/garantiejeunes/" TargetMode="External"/><Relationship Id="rId30" Type="http://schemas.openxmlformats.org/officeDocument/2006/relationships/hyperlink" Target="https://www.economie.gouv.fr/plan-de-relance/insertion-personnes-eloignees-emploi-pec" TargetMode="External"/><Relationship Id="rId31" Type="http://schemas.openxmlformats.org/officeDocument/2006/relationships/hyperlink" Target="https://www.economie.gouv.fr/plan-de-relance/profils/entreprises/aide-embauche-jeunes" TargetMode="External"/><Relationship Id="rId32" Type="http://schemas.openxmlformats.org/officeDocument/2006/relationships/hyperlink" Target="https://www.economie.gouv.fr/entreprises/aide-mobilisation-employeurs-embauche-travailleurs-handicapes-plan-relance" TargetMode="External"/><Relationship Id="rId33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>Secrétariat Général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Raphaelle KOROTCHANSKY</cp:lastModifiedBy>
  <cp:revision>51</cp:revision>
  <dcterms:created xsi:type="dcterms:W3CDTF">2021-04-02T09:48:00Z</dcterms:created>
  <dcterms:modified xsi:type="dcterms:W3CDTF">2021-07-15T16:41:17Z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