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2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912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2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Hautes-Pyrénées</w:t>
      </w:r>
      <w:r/>
    </w:p>
    <w:p>
      <w:pPr>
        <w:pStyle w:val="912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912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955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954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957"/>
        <w:jc w:val="both"/>
      </w:pPr>
      <w:r/>
      <w:hyperlink r:id="rId12" w:tooltip="https://www.gouvernement.fr/portraits-de-la-relance" w:history="1">
        <w:r>
          <w:rPr>
            <w:rStyle w:val="926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912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2126990198"/>
        <w:docPartObj>
          <w:docPartGallery w:val="Table of Contents"/>
          <w:docPartUnique w:val="true"/>
        </w:docPartObj>
        <w:rPr/>
      </w:sdtPr>
      <w:sdtContent>
        <w:p>
          <w:pPr>
            <w:pStyle w:val="953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958"/>
            <w:tabs>
              <w:tab w:val="right" w:pos="9356" w:leader="dot"/>
            </w:tabs>
          </w:pPr>
          <w:r>
            <w:fldChar w:fldCharType="begin"/>
          </w:r>
          <w:r>
            <w:rPr>
              <w:rStyle w:val="939"/>
            </w:rPr>
            <w:instrText xml:space="preserve"> TOC \z \o "1-3" \u \h</w:instrText>
          </w:r>
          <w:r>
            <w:rPr>
              <w:rStyle w:val="939"/>
            </w:rPr>
            <w:fldChar w:fldCharType="separate"/>
          </w:r>
          <w:hyperlink w:tooltip="#__RefHeading___Toc2084_764153988" w:anchor="__RefHeading___Toc2084_764153988" w:history="1">
            <w:r>
              <w:rPr>
                <w:rStyle w:val="939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86_764153988" w:anchor="__RefHeading___Toc2086_764153988" w:history="1">
            <w:r>
              <w:rPr>
                <w:rStyle w:val="939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88_764153988" w:anchor="__RefHeading___Toc2088_764153988" w:history="1">
            <w:r>
              <w:rPr>
                <w:rStyle w:val="939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90_764153988" w:anchor="__RefHeading___Toc2090_764153988" w:history="1">
            <w:r>
              <w:rPr>
                <w:rStyle w:val="939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92_764153988" w:anchor="__RefHeading___Toc2092_764153988" w:history="1">
            <w:r>
              <w:rPr>
                <w:rStyle w:val="939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94_764153988" w:anchor="__RefHeading___Toc2094_764153988" w:history="1">
            <w:r>
              <w:rPr>
                <w:rStyle w:val="939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96_764153988" w:anchor="__RefHeading___Toc2096_764153988" w:history="1">
            <w:r>
              <w:rPr>
                <w:rStyle w:val="939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098_764153988" w:anchor="__RefHeading___Toc2098_764153988" w:history="1">
            <w:r>
              <w:rPr>
                <w:rStyle w:val="939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958"/>
            <w:tabs>
              <w:tab w:val="right" w:pos="9356" w:leader="dot"/>
            </w:tabs>
          </w:pPr>
          <w:r/>
          <w:hyperlink w:tooltip="#__RefHeading___Toc2100_764153988" w:anchor="__RefHeading___Toc2100_764153988" w:history="1">
            <w:r>
              <w:rPr>
                <w:rStyle w:val="939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02_764153988" w:anchor="__RefHeading___Toc2102_764153988" w:history="1">
            <w:r>
              <w:rPr>
                <w:rStyle w:val="939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04_764153988" w:anchor="__RefHeading___Toc2104_764153988" w:history="1">
            <w:r>
              <w:rPr>
                <w:rStyle w:val="939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06_764153988" w:anchor="__RefHeading___Toc2106_764153988" w:history="1">
            <w:r>
              <w:rPr>
                <w:rStyle w:val="939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08_764153988" w:anchor="__RefHeading___Toc2108_764153988" w:history="1">
            <w:r>
              <w:rPr>
                <w:rStyle w:val="939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10_764153988" w:anchor="__RefHeading___Toc2110_764153988" w:history="1">
            <w:r>
              <w:rPr>
                <w:rStyle w:val="939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12_764153988" w:anchor="__RefHeading___Toc2112_764153988" w:history="1">
            <w:r>
              <w:rPr>
                <w:rStyle w:val="939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958"/>
            <w:tabs>
              <w:tab w:val="right" w:pos="9356" w:leader="dot"/>
            </w:tabs>
          </w:pPr>
          <w:r/>
          <w:hyperlink w:tooltip="#__RefHeading___Toc2114_764153988" w:anchor="__RefHeading___Toc2114_764153988" w:history="1">
            <w:r>
              <w:rPr>
                <w:rStyle w:val="939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16_764153988" w:anchor="__RefHeading___Toc2116_764153988" w:history="1">
            <w:r>
              <w:rPr>
                <w:rStyle w:val="939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18_764153988" w:anchor="__RefHeading___Toc2118_764153988" w:history="1">
            <w:r>
              <w:rPr>
                <w:rStyle w:val="939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20_764153988" w:anchor="__RefHeading___Toc2120_764153988" w:history="1">
            <w:r>
              <w:rPr>
                <w:rStyle w:val="939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22_764153988" w:anchor="__RefHeading___Toc2122_764153988" w:history="1">
            <w:r>
              <w:rPr>
                <w:rStyle w:val="939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24_764153988" w:anchor="__RefHeading___Toc2124_764153988" w:history="1">
            <w:r>
              <w:rPr>
                <w:rStyle w:val="939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26_764153988" w:anchor="__RefHeading___Toc2126_764153988" w:history="1">
            <w:r>
              <w:rPr>
                <w:rStyle w:val="939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28_764153988" w:anchor="__RefHeading___Toc2128_764153988" w:history="1">
            <w:r>
              <w:rPr>
                <w:rStyle w:val="939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959"/>
            <w:tabs>
              <w:tab w:val="right" w:pos="9356" w:leader="dot"/>
            </w:tabs>
          </w:pPr>
          <w:r/>
          <w:hyperlink w:tooltip="#__RefHeading___Toc2130_764153988" w:anchor="__RefHeading___Toc2130_764153988" w:history="1">
            <w:r>
              <w:rPr>
                <w:rStyle w:val="939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957"/>
      </w:pPr>
      <w:r>
        <w:fldChar w:fldCharType="end"/>
      </w:r>
      <w:r>
        <w:br w:type="page"/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4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84_764153988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ind w:left="0" w:right="0" w:firstLine="0"/>
              <w:spacing w:lineRule="atLeast" w:line="273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c’est 2,3 millions d’euros mobilisés pour la rénovation des bâtiments de l’Etat, pour un meilleur confort des agents et des usagers :</w:t>
            </w:r>
            <w:r/>
          </w:p>
          <w:p>
            <w:pPr>
              <w:pStyle w:val="760"/>
              <w:numPr>
                <w:ilvl w:val="0"/>
                <w:numId w:val="26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police nationale à Tarbes, la gendarmerie à Bagnères-de-Bigorre et la gendarmerie des transports aériens à Louey</w:t>
            </w:r>
            <w:r/>
          </w:p>
          <w:p>
            <w:pPr>
              <w:pStyle w:val="760"/>
              <w:numPr>
                <w:ilvl w:val="0"/>
                <w:numId w:val="26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L'Agence nationale pour la formation professionnelle des adultes (Afpa) à Tarbes</w:t>
            </w:r>
            <w:r/>
          </w:p>
          <w:p>
            <w:pPr>
              <w:pStyle w:val="760"/>
              <w:numPr>
                <w:ilvl w:val="0"/>
                <w:numId w:val="26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L’Ecole nationale d'ingénieurs de Tarbes </w:t>
            </w:r>
            <w:r/>
          </w:p>
          <w:p>
            <w:pPr>
              <w:pStyle w:val="760"/>
              <w:numPr>
                <w:ilvl w:val="0"/>
                <w:numId w:val="26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Des sites des armées à Barèges et Tarbes</w:t>
            </w:r>
            <w:r/>
          </w:p>
          <w:p>
            <w:pPr>
              <w:pStyle w:val="760"/>
              <w:numPr>
                <w:ilvl w:val="0"/>
                <w:numId w:val="26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Le centre des finances publiques à Tarbes.</w:t>
            </w:r>
            <w:r>
              <w:rPr>
                <w:sz w:val="24"/>
              </w:rPr>
            </w:r>
            <w:r/>
          </w:p>
          <w:p>
            <w:pPr>
              <w:ind w:left="0" w:right="0" w:firstLine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Relance, c’est aussi 5,3 millions d’euros de crédits de dotation exceptionnelle aux collectivités pour la transition écologique, dont :</w:t>
            </w:r>
            <w:r/>
          </w:p>
          <w:p>
            <w:pPr>
              <w:pStyle w:val="760"/>
              <w:numPr>
                <w:ilvl w:val="0"/>
                <w:numId w:val="27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L’installation d’une pompe à chaleur géothermie à la maison du savoir de Saint-Laurent de Neste</w:t>
            </w:r>
            <w:r/>
          </w:p>
          <w:p>
            <w:pPr>
              <w:pStyle w:val="760"/>
              <w:numPr>
                <w:ilvl w:val="0"/>
                <w:numId w:val="27"/>
              </w:numPr>
              <w:ind w:right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rénovation énergétique du Pôle enfance à Aragnouet</w:t>
            </w:r>
            <w:r/>
          </w:p>
          <w:p>
            <w:pPr>
              <w:pStyle w:val="760"/>
              <w:numPr>
                <w:ilvl w:val="0"/>
                <w:numId w:val="27"/>
              </w:numPr>
              <w:ind w:right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Larénovation thermique du collège du Val d’Arros à Tournay</w:t>
            </w:r>
            <w:r>
              <w:rPr>
                <w:sz w:val="24"/>
              </w:rPr>
            </w:r>
            <w:r/>
          </w:p>
          <w:p>
            <w:pPr>
              <w:ind w:left="0" w:right="0" w:firstLine="0"/>
              <w:spacing w:lineRule="atLeast" w:line="259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5B9BD5"/>
                <w:sz w:val="22"/>
              </w:rPr>
              <w:t xml:space="preserve">France Relance a accompagné les Hauts-Pyrénéens dans le verdissement de leur véhicule automobile 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avec 1 258 primes à la conversion et bonus écologique accordés depuis juillet 2020</w:t>
            </w:r>
            <w:r/>
          </w:p>
          <w:p>
            <w:pPr>
              <w:ind w:left="0" w:right="0" w:firstLine="0"/>
              <w:spacing w:lineRule="atLeast" w:line="201" w:after="86" w:before="115"/>
              <w:rPr>
                <w:rFonts w:ascii="Marianne" w:hAnsi="Marianne" w:cs="Marianne" w:eastAsia="Marianne"/>
                <w:b/>
                <w:color w:val="21409A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21409A"/>
                <w:sz w:val="22"/>
              </w:rPr>
              <w:t xml:space="preserve">Ce sont</w:t>
            </w:r>
            <w:r>
              <w:rPr>
                <w:rFonts w:ascii="Marianne" w:hAnsi="Marianne" w:cs="Marianne" w:eastAsia="Marianne"/>
                <w:b/>
                <w:color w:val="00000A"/>
                <w:sz w:val="22"/>
              </w:rPr>
              <w:t xml:space="preserve">1939 </w:t>
            </w:r>
            <w:r>
              <w:rPr>
                <w:rFonts w:ascii="Marianne" w:hAnsi="Marianne" w:cs="Marianne" w:eastAsia="Marianne"/>
                <w:b/>
                <w:color w:val="21409A"/>
                <w:sz w:val="22"/>
              </w:rPr>
              <w:t xml:space="preserve">particuliers qui se sont saisis de MaPrimeRénov’ pour réaliser</w:t>
            </w:r>
            <w:r>
              <w:rPr>
                <w:rFonts w:ascii="Marianne" w:hAnsi="Marianne" w:cs="Marianne" w:eastAsia="Marianne"/>
                <w:b/>
                <w:color w:val="00000A"/>
                <w:sz w:val="22"/>
              </w:rPr>
              <w:t xml:space="preserve">18 </w:t>
            </w:r>
            <w:r>
              <w:rPr>
                <w:rFonts w:ascii="Marianne" w:hAnsi="Marianne" w:cs="Marianne" w:eastAsia="Marianne"/>
                <w:b/>
                <w:color w:val="21409A"/>
                <w:sz w:val="22"/>
              </w:rPr>
              <w:t xml:space="preserve">millions d’euros de travaux </w:t>
            </w:r>
            <w:r>
              <w:rPr>
                <w:rFonts w:ascii="Marianne" w:hAnsi="Marianne" w:cs="Marianne" w:eastAsia="Marianne"/>
                <w:b/>
                <w:color w:val="5B9BD5"/>
                <w:sz w:val="22"/>
              </w:rPr>
              <w:t xml:space="preserve">pour réduire l’empreinte carbonede leur logement </w:t>
            </w:r>
            <w:r>
              <w:rPr>
                <w:rFonts w:ascii="Marianne" w:hAnsi="Marianne" w:cs="Marianne" w:eastAsia="Marianne"/>
                <w:b/>
                <w:color w:val="21409A"/>
                <w:sz w:val="22"/>
              </w:rPr>
              <w:t xml:space="preserve">dont 5,4 millions d’euros d’aides de l’Etat.</w:t>
            </w:r>
            <w:r/>
            <w:r>
              <w:rPr>
                <w:rFonts w:ascii="Marianne" w:hAnsi="Marianne" w:cs="Marianne" w:eastAsia="Marianne"/>
                <w:b/>
                <w:color w:val="21409A"/>
                <w:sz w:val="22"/>
                <w:highlight w:val="none"/>
              </w:rPr>
            </w:r>
            <w:r>
              <w:rPr>
                <w:rFonts w:ascii="Marianne" w:hAnsi="Marianne" w:cs="Marianne" w:eastAsia="Marianne"/>
                <w:b/>
                <w:color w:val="21409A"/>
                <w:sz w:val="22"/>
                <w:highlight w:val="none"/>
              </w:rPr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169B62"/>
                <w:spacing w:val="14"/>
                <w:sz w:val="22"/>
              </w:rPr>
              <w:t xml:space="preserve">France Relance soutient les Jardins partagés et collectifs: </w:t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Le projet de l’association « Le Pas de côté » à Séméac est le 1er lauréat de cet appel à projets pour les Hautes-Pyrénées. Ouvert aux habitants et aux associations, ce jardin s’inscrit dans l’espace nature dédié à la sensibilisation à l’environnement porté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 par la commune. Il sera co-financé par l’Etat, dans le cadre du plan de relance, à hauteur de 7 000 €. </w:t>
            </w:r>
            <w:r>
              <w:rPr>
                <w:sz w:val="24"/>
              </w:rPr>
            </w:r>
            <w:r/>
          </w:p>
          <w:p>
            <w:pPr>
              <w:ind w:left="0" w:right="0" w:firstLine="0"/>
              <w:spacing w:lineRule="atLeast" w:line="288" w:after="144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5B9BD5"/>
                <w:sz w:val="22"/>
              </w:rPr>
              <w:t xml:space="preserve">France Relance c’est également le soutien à la création d’Atlas de la biodiversité </w:t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2F2E2C"/>
                <w:sz w:val="22"/>
                <w:highlight w:val="white"/>
              </w:rPr>
              <w:t xml:space="preserve">Véritables outils stratégiques de l’action locale, ces atlas visent l’acquisition et la diffusion de nouvelles connaissances naturalistes, à l’échelle d’un territoire. La commune d’Argelès-Gazost v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va bénéficier de 17 600 € de crédits relance pour l’élaboration de son atlas communal.</w:t>
            </w:r>
            <w:r/>
          </w:p>
          <w:p>
            <w:pPr>
              <w:ind w:left="0" w:right="0" w:firstLine="0"/>
              <w:spacing w:lineRule="atLeast" w:line="201" w:after="86" w:before="115"/>
              <w:rPr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086_764153988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476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413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358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16 691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14 868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13 045 (10%)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088_764153988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1 118 (5%)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17.4 M€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855 (5%)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14.5 M€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567 (5%)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12.1 M€ (5%)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21 979 (10%)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345.2 M€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17 034 (10%)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281.5 M€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11 553 (10%)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232.8 M€ (9%)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090_764153988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67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67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60 (11%)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092_764153988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1 497 (18%)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1 497 (18%)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094_764153988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899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804 (4%)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23 744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22 645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21 505 (13%)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096_764153988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098_764153988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(8%)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136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88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49 (8%)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912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51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56"/>
              <w:jc w:val="left"/>
              <w:spacing w:lineRule="auto" w:line="240" w:after="0" w:before="0"/>
            </w:pPr>
            <w:r/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4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00_764153988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56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  <w:p>
            <w:pPr>
              <w:ind w:left="0" w:right="0" w:firstLine="0"/>
              <w:spacing w:lineRule="atLeast" w:line="273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c’est un soutien à l’industrie Haute-Pyrénéenne : 8 entreprises du département ont bénéficié de 5,1 millions d’euros pour 19 millions d’euros d’investissement :</w:t>
            </w:r>
            <w:r/>
          </w:p>
          <w:p>
            <w:pPr>
              <w:pStyle w:val="760"/>
              <w:numPr>
                <w:ilvl w:val="0"/>
                <w:numId w:val="28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6 entreprises via le dispositif « Territoires d’industrie » : Mersen Boostec et SCT à Bazet, TARMAC Aerosave à Azereix, l’ardoisière des Pyrénées à Labassère, CAF France à Bagnères-de-Bigorre, Pyrénées Charpente à Agos-Vidalos ;</w:t>
            </w:r>
            <w:r>
              <w:rPr>
                <w:rFonts w:ascii="Marianne" w:hAnsi="Marianne" w:cs="Marianne" w:eastAsia="Marianne"/>
                <w:color w:val="000000"/>
                <w:sz w:val="22"/>
                <w:highlight w:val="yellow"/>
              </w:rPr>
              <w:t xml:space="preserve">(OSMOSE n’en mentionne que 5 à fin mai- enlève-t-’on Pyrénées charpente?°)</w:t>
            </w:r>
            <w:r/>
          </w:p>
          <w:p>
            <w:pPr>
              <w:pStyle w:val="760"/>
              <w:numPr>
                <w:ilvl w:val="0"/>
                <w:numId w:val="28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2 entreprises ont bénéficié du fonds pour la modernisation du secteur aéronautique : Adhetec et ISP System.</w:t>
            </w:r>
            <w:r>
              <w:rPr>
                <w:sz w:val="24"/>
              </w:rPr>
            </w:r>
            <w:r/>
          </w:p>
          <w:p>
            <w:pPr>
              <w:ind w:left="0" w:right="0" w:firstLine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C’est également un soutien à la transformation des entreprises industrielles. avec l’appui du guichet « industrie du futur ». 8 entreprises sont d’ores et déjà accompagnées dans le département dans le cadre du guichet « industrie du futur ». (</w:t>
            </w:r>
            <w:r>
              <w:rPr>
                <w:rFonts w:ascii="Marianne" w:hAnsi="Marianne" w:cs="Marianne" w:eastAsia="Marianne"/>
                <w:color w:val="000000"/>
                <w:sz w:val="22"/>
                <w:highlight w:val="yellow"/>
              </w:rPr>
              <w:t xml:space="preserve">A ce jour c’est 11 mais Osmose s’arrête à 8 à fin mai). </w:t>
            </w:r>
            <w:r>
              <w:rPr>
                <w:sz w:val="24"/>
              </w:rPr>
            </w:r>
            <w:r/>
          </w:p>
          <w:p>
            <w:pPr>
              <w:ind w:left="0" w:right="0" w:firstLine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à Lourdes, c’est un guichet unique de soutien et d’orientation des entreprises lourdaises, co-piloté par l’État et la CCI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. 35 entreprises ont bénéficié de cet accompagnement renforcé.</w:t>
            </w:r>
            <w:r/>
          </w:p>
          <w:p>
            <w:pPr>
              <w:ind w:left="0" w:right="0" w:firstLine="0"/>
              <w:spacing w:lineRule="atLeast" w:line="273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renforce la compétitivité du territoire avec une baisse des impôts de production de 27,6 millions d’euros pour 2 496 entreprises du département.</w:t>
            </w:r>
            <w:r/>
          </w:p>
          <w:p>
            <w:pPr>
              <w:ind w:left="0" w:right="0" w:firstLine="0"/>
              <w:spacing w:lineRule="atLeast" w:line="273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accompagne les entreprises des Hautes-Pyrénées à l’export : </w:t>
            </w:r>
            <w:r/>
          </w:p>
          <w:p>
            <w:pPr>
              <w:pStyle w:val="760"/>
              <w:numPr>
                <w:ilvl w:val="0"/>
                <w:numId w:val="29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5 entreprises ont bénéficié des « chèques export » de France Relance pour les encourager, malgré le contexte sanitaire, à continuer à prospecter à l’international.</w:t>
            </w:r>
            <w:r/>
          </w:p>
          <w:p>
            <w:pPr>
              <w:ind w:left="0" w:right="0" w:firstLine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a également le souci de maintenir un réseau de services culturels, de préserver notre patrimoine </w:t>
            </w:r>
            <w:r>
              <w:rPr>
                <w:rFonts w:ascii="Marianne" w:hAnsi="Marianne" w:cs="Marianne" w:eastAsia="Marianne"/>
                <w:strike/>
                <w:color w:val="169B62"/>
                <w:sz w:val="22"/>
              </w:rPr>
              <w:t xml:space="preserve">:</w:t>
            </w: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 </w:t>
            </w:r>
            <w:r/>
          </w:p>
          <w:p>
            <w:pPr>
              <w:pStyle w:val="760"/>
              <w:numPr>
                <w:ilvl w:val="0"/>
                <w:numId w:val="30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Le musée pyrénéen de Lourdes va bénéficier de 1 200 000 euros de France Relance ;</w:t>
            </w:r>
            <w:r/>
          </w:p>
          <w:p>
            <w:pPr>
              <w:pStyle w:val="760"/>
              <w:numPr>
                <w:ilvl w:val="0"/>
                <w:numId w:val="30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Le Parvis, scène nationale de Tarbes, recevra 100 000 euros.</w:t>
            </w:r>
            <w:r/>
          </w:p>
          <w:p>
            <w:pPr>
              <w:pStyle w:val="760"/>
              <w:numPr>
                <w:ilvl w:val="0"/>
                <w:numId w:val="30"/>
              </w:numPr>
              <w:ind w:right="0"/>
              <w:spacing w:lineRule="atLeast" w:line="201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21409A"/>
                <w:sz w:val="22"/>
              </w:rPr>
              <w:t xml:space="preserve">L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a ville de Lourdes recevra 150 000 € pour l’acquisition d’une scène mobile</w:t>
            </w:r>
            <w:r/>
          </w:p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02_764153988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(11%)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36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912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51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56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04_764153988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20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20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17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912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51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56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06_764153988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264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229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152 (4%)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6 202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4 890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3 414 (12%)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912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51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56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08_764153988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84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23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17 (2%)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10_764153988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268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231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190 (9%)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912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51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56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12_764153988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423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401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2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14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14_764153988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ind w:left="0" w:right="0" w:firstLine="0"/>
              <w:spacing w:lineRule="atLeast" w:line="273" w:after="86" w:before="115"/>
              <w:rPr>
                <w:rFonts w:ascii="Times New Roman" w:hAnsi="Times New Roman" w:cs="Times New Roman" w:eastAsia="Times New Roman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Marianne" w:hAnsi="Marianne" w:cs="Marianne" w:eastAsia="Marianne"/>
                <w:color w:val="169B62"/>
                <w:sz w:val="22"/>
              </w:rPr>
              <w:t xml:space="preserve">France Relance c’est donner des perspectives aux jeunes hauts-pyrénéens avec le plan « 1 jeune, 1 solution » : près de 6 700 jeunes ont bénéficié du « plan jeunes » dont :</w:t>
            </w:r>
            <w:r/>
          </w:p>
          <w:p>
            <w:pPr>
              <w:pStyle w:val="760"/>
              <w:numPr>
                <w:ilvl w:val="0"/>
                <w:numId w:val="31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A"/>
                <w:sz w:val="22"/>
              </w:rPr>
              <w:t xml:space="preserve">1 273 primes à l’embauche financées par France Relance </w:t>
            </w:r>
            <w:r>
              <w:rPr>
                <w:rFonts w:ascii="Marianne" w:hAnsi="Marianne" w:cs="Marianne" w:eastAsia="Marianne"/>
                <w:color w:val="00000A"/>
                <w:sz w:val="22"/>
                <w:highlight w:val="yellow"/>
              </w:rPr>
              <w:t xml:space="preserve">(Osmose en cite 1052)</w:t>
            </w:r>
            <w:r/>
          </w:p>
          <w:p>
            <w:pPr>
              <w:pStyle w:val="760"/>
              <w:numPr>
                <w:ilvl w:val="0"/>
                <w:numId w:val="31"/>
              </w:numPr>
              <w:ind w:right="0"/>
              <w:spacing w:lineRule="atLeast" w:line="61" w:after="158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A"/>
                <w:sz w:val="22"/>
              </w:rPr>
              <w:t xml:space="preserve">1 217 contrats d’apprentissage aidés par France Relance.</w:t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000000"/>
                <w:sz w:val="22"/>
              </w:rPr>
              <w:t xml:space="preserve">France Relance c’est l’Etat aux côtés des communes des Hautes-Pyrénées dans leurs projets d’investissement local :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11,4 millions d’euros de dotation à l’investissement local supplémentaire pour réaliser 42 millions d’euros d’investissements publics et notamment :</w:t>
            </w:r>
            <w:r/>
          </w:p>
          <w:p>
            <w:pPr>
              <w:pStyle w:val="760"/>
              <w:numPr>
                <w:ilvl w:val="0"/>
                <w:numId w:val="32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construction d’une installation de production d’énergie renouvelable à Asqué</w:t>
            </w:r>
            <w:r/>
          </w:p>
          <w:p>
            <w:pPr>
              <w:pStyle w:val="760"/>
              <w:numPr>
                <w:ilvl w:val="0"/>
                <w:numId w:val="32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rénovation d’écoles à Argelès-Gazost</w:t>
            </w:r>
            <w:r/>
          </w:p>
          <w:p>
            <w:pPr>
              <w:pStyle w:val="760"/>
              <w:numPr>
                <w:ilvl w:val="0"/>
                <w:numId w:val="32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construction d‘ une salle multisports à Louey</w:t>
            </w:r>
            <w:r/>
          </w:p>
          <w:p>
            <w:pPr>
              <w:pStyle w:val="760"/>
              <w:numPr>
                <w:ilvl w:val="0"/>
                <w:numId w:val="32"/>
              </w:numPr>
              <w:ind w:right="0"/>
              <w:spacing w:lineRule="atLeast" w:line="273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La modernisation d’un complexe thermoludique à Saint-Lary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ind w:left="0" w:right="0" w:firstLine="0"/>
              <w:spacing w:lineRule="atLeast" w:line="201" w:after="86" w:before="115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i/>
                <w:color w:val="21409A"/>
                <w:sz w:val="22"/>
              </w:rPr>
              <w:t xml:space="preserve">La liste des projets et plus d’informations, chaque mois, sur</w:t>
            </w:r>
            <w:hyperlink r:id="rId26" w:tooltip="http://www.hautes-pyrenees.gouv.fr/france-relance-dans-les-hautes-pyrenees-r1551.html" w:history="1">
              <w:r>
                <w:rPr>
                  <w:rStyle w:val="897"/>
                  <w:rFonts w:ascii="Marianne" w:hAnsi="Marianne" w:cs="Marianne" w:eastAsia="Marianne"/>
                  <w:b/>
                  <w:i/>
                  <w:color w:val="5B9BD5"/>
                  <w:sz w:val="22"/>
                  <w:u w:val="single"/>
                </w:rPr>
                <w:t xml:space="preserve">http://www.hautes-pyrenees.gouv.fr/france-relance-dans-les-hautes-pyrenees-r1551.html</w:t>
              </w:r>
            </w:hyperlink>
            <w:r>
              <w:rPr>
                <w:rFonts w:ascii="Marianne" w:hAnsi="Marianne" w:cs="Marianne" w:eastAsia="Marianne"/>
                <w:b/>
                <w:i/>
                <w:color w:val="5B9BD5"/>
                <w:sz w:val="22"/>
                <w:u w:val="single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61" w:after="158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5B9BD5"/>
                <w:sz w:val="22"/>
              </w:rPr>
              <w:t xml:space="preserve">France Relance c’est la modernisation des centres d’accueil de jour :</w:t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000000"/>
                <w:sz w:val="22"/>
                <w:highlight w:val="white"/>
              </w:rPr>
              <w:t xml:space="preserve">2 projets lauréats dans les Hautes-Pyrénées</w:t>
              <w:br/>
            </w:r>
            <w:r>
              <w:rPr>
                <w:rFonts w:ascii="Marianne" w:hAnsi="Marianne" w:cs="Marianne" w:eastAsia="Marianne"/>
                <w:b/>
                <w:color w:val="2F2E2C"/>
                <w:sz w:val="22"/>
                <w:highlight w:val="white"/>
              </w:rPr>
              <w:t xml:space="preserve">pour un montant de 164 960 euros </w:t>
            </w:r>
            <w:r>
              <w:rPr>
                <w:rFonts w:ascii="Marianne" w:hAnsi="Marianne" w:cs="Marianne" w:eastAsia="Marianne"/>
                <w:color w:val="2F2E2C"/>
                <w:sz w:val="22"/>
                <w:highlight w:val="white"/>
              </w:rPr>
              <w:t xml:space="preserve">:</w:t>
              <w:br/>
              <w:br/>
              <w:t xml:space="preserve">- L'accueil de jour du Secours Populaire à TARBES</w:t>
              <w:br/>
              <w:t xml:space="preserve">- L'accueil de jour "café solidaire" de l'association RAS à TARBES</w:t>
            </w:r>
            <w:r/>
          </w:p>
          <w:p>
            <w:pPr>
              <w:ind w:left="0" w:right="0" w:firstLine="0"/>
              <w:spacing w:lineRule="atLeast" w:line="5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/>
                <w:color w:val="00000A"/>
                <w:sz w:val="22"/>
              </w:rPr>
              <w:t xml:space="preserve">Soutien aux associations de solidarité</w:t>
              <w:br/>
            </w:r>
            <w:r>
              <w:rPr>
                <w:rFonts w:ascii="Marianne" w:hAnsi="Marianne" w:cs="Marianne" w:eastAsia="Marianne"/>
                <w:color w:val="000000"/>
                <w:sz w:val="22"/>
              </w:rPr>
              <w:t xml:space="preserve">Dans le cadre de la deuxième vague de l’appel à projets « soutien aux associations de lutte contre la pauvreté », l'association</w:t>
            </w:r>
            <w:r>
              <w:rPr>
                <w:rFonts w:ascii="Marianne" w:hAnsi="Marianne" w:cs="Marianne" w:eastAsia="Marianne"/>
                <w:color w:val="00000A"/>
                <w:sz w:val="22"/>
              </w:rPr>
              <w:t xml:space="preserve">Albert Peyriguère a obtenu 30 106 € pour favoriser la mobilité des personnes en difficultés sociales.</w:t>
              <w:br/>
              <w:t xml:space="preserve">L'association pourra ainsi proposer deux voitures sans permis aux personnes en situation d’accession à l’emploi et/ou à la formation.</w:t>
            </w:r>
            <w:r/>
          </w:p>
          <w:p>
            <w:pPr>
              <w:pStyle w:val="956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</w:rPr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16_764153988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7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1 217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1 151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1 056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42 393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39 379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35 783 (9%)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18_764153988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8" w:tooltip="https://www.economie.gouv.fr/plan-de-relance/profils/entreprises/aide-embauche-jeune-contrat-initiative-emploi-ci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35 (7%)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1 221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744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470 (5%)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20_764153988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9" w:tooltip="https://travail-emploi.gouv.fr/formation-professionnelle/entreprise-et-alternance/aide-exceptionnelle-contrat-pro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3 120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2 819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2 471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22_764153988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30" w:tooltip="https://travail-emploi.gouv.fr/emploi/mesures-jeunes/garantiejeunes/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420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11 311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9 370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7 600 (14%)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24_764153988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1" w:tooltip="https://www.economie.gouv.fr/plan-de-relance/insertion-personnes-eloignees-emploi-pec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85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(6%)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1 280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1 124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958 (8%)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26_764153988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2" w:tooltip="https://www.economie.gouv.fr/plan-de-relance/profils/entreprises/aide-embauche-jeunes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1 052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960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822 (4%)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30 381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26 675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22 990 (8%)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28_764153988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3" w:tooltip="https://www.economie.gouv.fr/entreprises/aide-mobilisation-employeurs-embauche-travailleurs-handicapes-plan-relanc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31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1 597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1 321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1 108 (13%)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957"/>
      </w:pPr>
      <w:r>
        <w:br w:type="page"/>
      </w:r>
      <w:r/>
    </w:p>
    <w:p>
      <w:pPr>
        <w:pStyle w:val="915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30_764153988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4" w:tooltip="https://www.economie.gouv.fr/plan-de-relance/profils/administrations/financement-nouvelles-missions-service-civique" w:history="1">
        <w:r>
          <w:rPr>
            <w:rStyle w:val="938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912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12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(3%)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7 361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7 361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Style w:val="936"/>
                <w:rFonts w:ascii="Marianne" w:hAnsi="Marianne" w:cs="Arial"/>
                <w:sz w:val="20"/>
                <w:szCs w:val="20"/>
              </w:rPr>
              <w:t xml:space="preserve">6 633 (9%)  </w:t>
            </w:r>
            <w:r/>
          </w:p>
        </w:tc>
      </w:tr>
    </w:tbl>
    <w:p>
      <w:pPr>
        <w:pStyle w:val="912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62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50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914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915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5">
    <w:name w:val="Heading 1 Char"/>
    <w:basedOn w:val="916"/>
    <w:link w:val="913"/>
    <w:uiPriority w:val="9"/>
    <w:rPr>
      <w:rFonts w:ascii="Arial" w:hAnsi="Arial" w:cs="Arial" w:eastAsia="Arial"/>
      <w:sz w:val="40"/>
      <w:szCs w:val="40"/>
    </w:rPr>
  </w:style>
  <w:style w:type="character" w:styleId="746">
    <w:name w:val="Heading 2 Char"/>
    <w:basedOn w:val="916"/>
    <w:link w:val="914"/>
    <w:uiPriority w:val="9"/>
    <w:rPr>
      <w:rFonts w:ascii="Arial" w:hAnsi="Arial" w:cs="Arial" w:eastAsia="Arial"/>
      <w:sz w:val="34"/>
    </w:rPr>
  </w:style>
  <w:style w:type="character" w:styleId="747">
    <w:name w:val="Heading 3 Char"/>
    <w:basedOn w:val="916"/>
    <w:link w:val="915"/>
    <w:uiPriority w:val="9"/>
    <w:rPr>
      <w:rFonts w:ascii="Arial" w:hAnsi="Arial" w:cs="Arial" w:eastAsia="Arial"/>
      <w:sz w:val="30"/>
      <w:szCs w:val="30"/>
    </w:rPr>
  </w:style>
  <w:style w:type="paragraph" w:styleId="748">
    <w:name w:val="Heading 4"/>
    <w:basedOn w:val="912"/>
    <w:next w:val="912"/>
    <w:link w:val="7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9">
    <w:name w:val="Heading 4 Char"/>
    <w:basedOn w:val="916"/>
    <w:link w:val="748"/>
    <w:uiPriority w:val="9"/>
    <w:rPr>
      <w:rFonts w:ascii="Arial" w:hAnsi="Arial" w:cs="Arial" w:eastAsia="Arial"/>
      <w:b/>
      <w:bCs/>
      <w:sz w:val="26"/>
      <w:szCs w:val="26"/>
    </w:rPr>
  </w:style>
  <w:style w:type="paragraph" w:styleId="750">
    <w:name w:val="Heading 5"/>
    <w:basedOn w:val="912"/>
    <w:next w:val="912"/>
    <w:link w:val="7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51">
    <w:name w:val="Heading 5 Char"/>
    <w:basedOn w:val="916"/>
    <w:link w:val="750"/>
    <w:uiPriority w:val="9"/>
    <w:rPr>
      <w:rFonts w:ascii="Arial" w:hAnsi="Arial" w:cs="Arial" w:eastAsia="Arial"/>
      <w:b/>
      <w:bCs/>
      <w:sz w:val="24"/>
      <w:szCs w:val="24"/>
    </w:rPr>
  </w:style>
  <w:style w:type="paragraph" w:styleId="752">
    <w:name w:val="Heading 6"/>
    <w:basedOn w:val="912"/>
    <w:next w:val="912"/>
    <w:link w:val="7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53">
    <w:name w:val="Heading 6 Char"/>
    <w:basedOn w:val="916"/>
    <w:link w:val="752"/>
    <w:uiPriority w:val="9"/>
    <w:rPr>
      <w:rFonts w:ascii="Arial" w:hAnsi="Arial" w:cs="Arial" w:eastAsia="Arial"/>
      <w:b/>
      <w:bCs/>
      <w:sz w:val="22"/>
      <w:szCs w:val="22"/>
    </w:rPr>
  </w:style>
  <w:style w:type="paragraph" w:styleId="754">
    <w:name w:val="Heading 7"/>
    <w:basedOn w:val="912"/>
    <w:next w:val="912"/>
    <w:link w:val="7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55">
    <w:name w:val="Heading 7 Char"/>
    <w:basedOn w:val="916"/>
    <w:link w:val="7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6">
    <w:name w:val="Heading 8"/>
    <w:basedOn w:val="912"/>
    <w:next w:val="912"/>
    <w:link w:val="7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57">
    <w:name w:val="Heading 8 Char"/>
    <w:basedOn w:val="916"/>
    <w:link w:val="756"/>
    <w:uiPriority w:val="9"/>
    <w:rPr>
      <w:rFonts w:ascii="Arial" w:hAnsi="Arial" w:cs="Arial" w:eastAsia="Arial"/>
      <w:i/>
      <w:iCs/>
      <w:sz w:val="22"/>
      <w:szCs w:val="22"/>
    </w:rPr>
  </w:style>
  <w:style w:type="paragraph" w:styleId="758">
    <w:name w:val="Heading 9"/>
    <w:basedOn w:val="912"/>
    <w:next w:val="912"/>
    <w:link w:val="7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59">
    <w:name w:val="Heading 9 Char"/>
    <w:basedOn w:val="916"/>
    <w:link w:val="758"/>
    <w:uiPriority w:val="9"/>
    <w:rPr>
      <w:rFonts w:ascii="Arial" w:hAnsi="Arial" w:cs="Arial" w:eastAsia="Arial"/>
      <w:i/>
      <w:iCs/>
      <w:sz w:val="21"/>
      <w:szCs w:val="21"/>
    </w:rPr>
  </w:style>
  <w:style w:type="paragraph" w:styleId="760">
    <w:name w:val="List Paragraph"/>
    <w:basedOn w:val="912"/>
    <w:qFormat/>
    <w:uiPriority w:val="34"/>
    <w:pPr>
      <w:contextualSpacing w:val="true"/>
      <w:ind w:left="720"/>
    </w:pPr>
  </w:style>
  <w:style w:type="paragraph" w:styleId="761">
    <w:name w:val="No Spacing"/>
    <w:qFormat/>
    <w:uiPriority w:val="1"/>
    <w:pPr>
      <w:spacing w:lineRule="auto" w:line="240" w:after="0" w:before="0"/>
    </w:pPr>
  </w:style>
  <w:style w:type="character" w:styleId="762">
    <w:name w:val="Title Char"/>
    <w:basedOn w:val="916"/>
    <w:link w:val="945"/>
    <w:uiPriority w:val="10"/>
    <w:rPr>
      <w:sz w:val="48"/>
      <w:szCs w:val="48"/>
    </w:rPr>
  </w:style>
  <w:style w:type="paragraph" w:styleId="763">
    <w:name w:val="Subtitle"/>
    <w:basedOn w:val="912"/>
    <w:next w:val="912"/>
    <w:link w:val="764"/>
    <w:qFormat/>
    <w:uiPriority w:val="11"/>
    <w:rPr>
      <w:sz w:val="24"/>
      <w:szCs w:val="24"/>
    </w:rPr>
    <w:pPr>
      <w:spacing w:after="200" w:before="200"/>
    </w:pPr>
  </w:style>
  <w:style w:type="character" w:styleId="764">
    <w:name w:val="Subtitle Char"/>
    <w:basedOn w:val="916"/>
    <w:link w:val="763"/>
    <w:uiPriority w:val="11"/>
    <w:rPr>
      <w:sz w:val="24"/>
      <w:szCs w:val="24"/>
    </w:rPr>
  </w:style>
  <w:style w:type="paragraph" w:styleId="765">
    <w:name w:val="Quote"/>
    <w:basedOn w:val="912"/>
    <w:next w:val="912"/>
    <w:link w:val="766"/>
    <w:qFormat/>
    <w:uiPriority w:val="29"/>
    <w:rPr>
      <w:i/>
    </w:rPr>
    <w:pPr>
      <w:ind w:left="720" w:right="720"/>
    </w:pPr>
  </w:style>
  <w:style w:type="character" w:styleId="766">
    <w:name w:val="Quote Char"/>
    <w:link w:val="765"/>
    <w:uiPriority w:val="29"/>
    <w:rPr>
      <w:i/>
    </w:rPr>
  </w:style>
  <w:style w:type="paragraph" w:styleId="767">
    <w:name w:val="Intense Quote"/>
    <w:basedOn w:val="912"/>
    <w:next w:val="912"/>
    <w:link w:val="76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68">
    <w:name w:val="Intense Quote Char"/>
    <w:link w:val="767"/>
    <w:uiPriority w:val="30"/>
    <w:rPr>
      <w:i/>
    </w:rPr>
  </w:style>
  <w:style w:type="character" w:styleId="769">
    <w:name w:val="Header Char"/>
    <w:basedOn w:val="916"/>
    <w:link w:val="947"/>
    <w:uiPriority w:val="99"/>
  </w:style>
  <w:style w:type="character" w:styleId="770">
    <w:name w:val="Footer Char"/>
    <w:basedOn w:val="916"/>
    <w:link w:val="948"/>
    <w:uiPriority w:val="99"/>
  </w:style>
  <w:style w:type="character" w:styleId="771">
    <w:name w:val="Caption Char"/>
    <w:basedOn w:val="946"/>
    <w:link w:val="948"/>
    <w:uiPriority w:val="99"/>
  </w:style>
  <w:style w:type="table" w:styleId="772">
    <w:name w:val="Table Grid Light"/>
    <w:basedOn w:val="9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Plain Table 1"/>
    <w:basedOn w:val="9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9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8">
    <w:name w:val="Grid Table 1 Light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2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2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2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2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2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2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3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3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3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3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3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3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Grid Table 4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00">
    <w:name w:val="Grid Table 4 - Accent 1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01">
    <w:name w:val="Grid Table 4 - Accent 2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Grid Table 4 - Accent 3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03">
    <w:name w:val="Grid Table 4 - Accent 4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Grid Table 4 - Accent 5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5">
    <w:name w:val="Grid Table 4 - Accent 6"/>
    <w:basedOn w:val="9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06">
    <w:name w:val="Grid Table 5 Dark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07">
    <w:name w:val="Grid Table 5 Dark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08">
    <w:name w:val="Grid Table 5 Dark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09">
    <w:name w:val="Grid Table 5 Dark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10">
    <w:name w:val="Grid Table 5 Dark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11">
    <w:name w:val="Grid Table 5 Dark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12">
    <w:name w:val="Grid Table 5 Dark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13">
    <w:name w:val="Grid Table 6 Colorful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4">
    <w:name w:val="Grid Table 6 Colorful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5">
    <w:name w:val="Grid Table 6 Colorful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6">
    <w:name w:val="Grid Table 6 Colorful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7">
    <w:name w:val="Grid Table 6 Colorful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8">
    <w:name w:val="Grid Table 6 Colorful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6 Colorful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7 Colorful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Grid Table 7 Colorful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Grid Table 7 Colorful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7 Colorful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Grid Table 7 Colorful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Grid Table 7 Colorful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26">
    <w:name w:val="Grid Table 7 Colorful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27">
    <w:name w:val="List Table 1 Light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List Table 1 Light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List Table 1 Light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List Table 1 Light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List Table 1 Light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List Table 1 Light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List Table 1 Light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List Table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35">
    <w:name w:val="List Table 2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36">
    <w:name w:val="List Table 2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37">
    <w:name w:val="List Table 2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38">
    <w:name w:val="List Table 2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39">
    <w:name w:val="List Table 2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40">
    <w:name w:val="List Table 2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41">
    <w:name w:val="List Table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63">
    <w:name w:val="List Table 6 Colorful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64">
    <w:name w:val="List Table 6 Colorful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65">
    <w:name w:val="List Table 6 Colorful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66">
    <w:name w:val="List Table 6 Colorful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67">
    <w:name w:val="List Table 6 Colorful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68">
    <w:name w:val="List Table 6 Colorful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69">
    <w:name w:val="List Table 7 Colorful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0">
    <w:name w:val="List Table 7 Colorful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1">
    <w:name w:val="List Table 7 Colorful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2">
    <w:name w:val="List Table 7 Colorful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3">
    <w:name w:val="List Table 7 Colorful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4">
    <w:name w:val="List Table 7 Colorful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75">
    <w:name w:val="List Table 7 Colorful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6">
    <w:name w:val="Lined - Accent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77">
    <w:name w:val="Lined - Accent 1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78">
    <w:name w:val="Lined - Accent 2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79">
    <w:name w:val="Lined - Accent 3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80">
    <w:name w:val="Lined - Accent 4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81">
    <w:name w:val="Lined - Accent 5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82">
    <w:name w:val="Lined - Accent 6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83">
    <w:name w:val="Bordered &amp; Lined - Accent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84">
    <w:name w:val="Bordered &amp; Lined - Accent 1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85">
    <w:name w:val="Bordered &amp; Lined - Accent 2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86">
    <w:name w:val="Bordered &amp; Lined - Accent 3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87">
    <w:name w:val="Bordered &amp; Lined - Accent 4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88">
    <w:name w:val="Bordered &amp; Lined - Accent 5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89">
    <w:name w:val="Bordered &amp; Lined - Accent 6"/>
    <w:basedOn w:val="9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90">
    <w:name w:val="Bordered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91">
    <w:name w:val="Bordered - Accent 1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92">
    <w:name w:val="Bordered - Accent 2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93">
    <w:name w:val="Bordered - Accent 3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94">
    <w:name w:val="Bordered - Accent 4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95">
    <w:name w:val="Bordered - Accent 5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96">
    <w:name w:val="Bordered - Accent 6"/>
    <w:basedOn w:val="9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97">
    <w:name w:val="Hyperlink"/>
    <w:uiPriority w:val="99"/>
    <w:unhideWhenUsed/>
    <w:rPr>
      <w:color w:val="0000FF" w:themeColor="hyperlink"/>
      <w:u w:val="single"/>
    </w:rPr>
  </w:style>
  <w:style w:type="paragraph" w:styleId="898">
    <w:name w:val="footnote text"/>
    <w:basedOn w:val="912"/>
    <w:link w:val="899"/>
    <w:uiPriority w:val="99"/>
    <w:semiHidden/>
    <w:unhideWhenUsed/>
    <w:rPr>
      <w:sz w:val="18"/>
    </w:rPr>
    <w:pPr>
      <w:spacing w:lineRule="auto" w:line="240" w:after="40"/>
    </w:pPr>
  </w:style>
  <w:style w:type="character" w:styleId="899">
    <w:name w:val="Footnote Text Char"/>
    <w:link w:val="898"/>
    <w:uiPriority w:val="99"/>
    <w:rPr>
      <w:sz w:val="18"/>
    </w:rPr>
  </w:style>
  <w:style w:type="character" w:styleId="900">
    <w:name w:val="footnote reference"/>
    <w:basedOn w:val="916"/>
    <w:uiPriority w:val="99"/>
    <w:unhideWhenUsed/>
    <w:rPr>
      <w:vertAlign w:val="superscript"/>
    </w:rPr>
  </w:style>
  <w:style w:type="paragraph" w:styleId="901">
    <w:name w:val="endnote text"/>
    <w:basedOn w:val="912"/>
    <w:link w:val="902"/>
    <w:uiPriority w:val="99"/>
    <w:semiHidden/>
    <w:unhideWhenUsed/>
    <w:rPr>
      <w:sz w:val="20"/>
    </w:rPr>
    <w:pPr>
      <w:spacing w:lineRule="auto" w:line="240" w:after="0"/>
    </w:pPr>
  </w:style>
  <w:style w:type="character" w:styleId="902">
    <w:name w:val="Endnote Text Char"/>
    <w:link w:val="901"/>
    <w:uiPriority w:val="99"/>
    <w:rPr>
      <w:sz w:val="20"/>
    </w:rPr>
  </w:style>
  <w:style w:type="character" w:styleId="903">
    <w:name w:val="endnote reference"/>
    <w:basedOn w:val="916"/>
    <w:uiPriority w:val="99"/>
    <w:semiHidden/>
    <w:unhideWhenUsed/>
    <w:rPr>
      <w:vertAlign w:val="superscript"/>
    </w:rPr>
  </w:style>
  <w:style w:type="paragraph" w:styleId="904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5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913">
    <w:name w:val="Heading 1"/>
    <w:basedOn w:val="912"/>
    <w:next w:val="912"/>
    <w:link w:val="924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914">
    <w:name w:val="Heading 2"/>
    <w:basedOn w:val="940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915">
    <w:name w:val="Heading 3"/>
    <w:basedOn w:val="940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916" w:default="1">
    <w:name w:val="Default Paragraph Font"/>
    <w:qFormat/>
    <w:uiPriority w:val="1"/>
    <w:semiHidden/>
    <w:unhideWhenUsed/>
  </w:style>
  <w:style w:type="character" w:styleId="917" w:customStyle="1">
    <w:name w:val="En-tête Car"/>
    <w:basedOn w:val="916"/>
    <w:qFormat/>
    <w:uiPriority w:val="99"/>
  </w:style>
  <w:style w:type="character" w:styleId="918" w:customStyle="1">
    <w:name w:val="Pied de page Car"/>
    <w:basedOn w:val="916"/>
    <w:link w:val="948"/>
    <w:qFormat/>
    <w:uiPriority w:val="99"/>
  </w:style>
  <w:style w:type="character" w:styleId="919" w:customStyle="1">
    <w:name w:val="Préformaté HTML Car"/>
    <w:basedOn w:val="916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920" w:customStyle="1">
    <w:name w:val="p"/>
    <w:basedOn w:val="916"/>
    <w:qFormat/>
  </w:style>
  <w:style w:type="character" w:styleId="921" w:customStyle="1">
    <w:name w:val="o"/>
    <w:basedOn w:val="916"/>
    <w:qFormat/>
  </w:style>
  <w:style w:type="character" w:styleId="922" w:customStyle="1">
    <w:name w:val="n"/>
    <w:basedOn w:val="916"/>
    <w:qFormat/>
  </w:style>
  <w:style w:type="character" w:styleId="923" w:customStyle="1">
    <w:name w:val="k"/>
    <w:basedOn w:val="916"/>
    <w:qFormat/>
  </w:style>
  <w:style w:type="character" w:styleId="924" w:customStyle="1">
    <w:name w:val="Titre 1 Car"/>
    <w:basedOn w:val="916"/>
    <w:link w:val="913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925">
    <w:name w:val="Lien Internet"/>
    <w:rPr>
      <w:color w:val="000080"/>
      <w:u w:val="single"/>
    </w:rPr>
  </w:style>
  <w:style w:type="character" w:styleId="926">
    <w:name w:val="Lien Internet visité"/>
    <w:rPr>
      <w:color w:val="800000"/>
      <w:u w:val="single"/>
    </w:rPr>
  </w:style>
  <w:style w:type="character" w:styleId="927">
    <w:name w:val="ListLabel 1"/>
    <w:qFormat/>
    <w:rPr>
      <w:rFonts w:ascii="Arial" w:hAnsi="Arial" w:cs="Arial"/>
      <w:i/>
      <w:iCs/>
      <w:sz w:val="40"/>
      <w:szCs w:val="40"/>
    </w:rPr>
  </w:style>
  <w:style w:type="character" w:styleId="928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929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930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931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932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33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34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35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36">
    <w:name w:val="Texte source"/>
    <w:qFormat/>
    <w:rPr>
      <w:rFonts w:ascii="Liberation Mono" w:hAnsi="Liberation Mono" w:cs="Liberation Mono" w:eastAsia="Liberation Mono"/>
    </w:rPr>
  </w:style>
  <w:style w:type="character" w:styleId="937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38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939">
    <w:name w:val="Saut d'index"/>
    <w:qFormat/>
  </w:style>
  <w:style w:type="paragraph" w:styleId="940">
    <w:name w:val="Titre"/>
    <w:basedOn w:val="912"/>
    <w:next w:val="941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41">
    <w:name w:val="Body Text"/>
    <w:basedOn w:val="912"/>
    <w:pPr>
      <w:spacing w:lineRule="auto" w:line="276" w:after="140" w:before="0"/>
    </w:pPr>
  </w:style>
  <w:style w:type="paragraph" w:styleId="942">
    <w:name w:val="List"/>
    <w:basedOn w:val="941"/>
    <w:rPr>
      <w:rFonts w:cs="Lohit Devanagari"/>
    </w:rPr>
  </w:style>
  <w:style w:type="paragraph" w:styleId="943">
    <w:name w:val="Caption"/>
    <w:basedOn w:val="912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44" w:customStyle="1">
    <w:name w:val="Index"/>
    <w:basedOn w:val="912"/>
    <w:qFormat/>
    <w:rPr>
      <w:rFonts w:cs="Lohit Devanagari"/>
    </w:rPr>
    <w:pPr>
      <w:suppressLineNumbers/>
    </w:pPr>
  </w:style>
  <w:style w:type="paragraph" w:styleId="945">
    <w:name w:val="Title"/>
    <w:basedOn w:val="912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946">
    <w:name w:val="Caption"/>
    <w:basedOn w:val="912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47">
    <w:name w:val="Header"/>
    <w:basedOn w:val="912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48">
    <w:name w:val="Footer"/>
    <w:basedOn w:val="912"/>
    <w:link w:val="918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49">
    <w:name w:val="HTML Preformatted"/>
    <w:basedOn w:val="912"/>
    <w:link w:val="919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950" w:customStyle="1">
    <w:name w:val="Obsah tabulky"/>
    <w:basedOn w:val="912"/>
    <w:qFormat/>
    <w:pPr>
      <w:suppressLineNumbers/>
    </w:pPr>
  </w:style>
  <w:style w:type="paragraph" w:styleId="951" w:customStyle="1">
    <w:name w:val="Contenu de tableau"/>
    <w:basedOn w:val="912"/>
    <w:qFormat/>
    <w:pPr>
      <w:suppressLineNumbers/>
    </w:pPr>
  </w:style>
  <w:style w:type="paragraph" w:styleId="952">
    <w:name w:val="toa heading"/>
    <w:basedOn w:val="945"/>
    <w:qFormat/>
    <w:rPr>
      <w:b/>
      <w:bCs/>
      <w:sz w:val="32"/>
      <w:szCs w:val="32"/>
    </w:rPr>
    <w:pPr>
      <w:suppressLineNumbers/>
    </w:pPr>
  </w:style>
  <w:style w:type="paragraph" w:styleId="953">
    <w:name w:val="TOC Heading"/>
    <w:basedOn w:val="913"/>
    <w:next w:val="912"/>
    <w:qFormat/>
    <w:uiPriority w:val="39"/>
    <w:unhideWhenUsed/>
    <w:rPr>
      <w:lang w:eastAsia="fr-FR"/>
    </w:rPr>
  </w:style>
  <w:style w:type="paragraph" w:styleId="954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55">
    <w:name w:val="03_texte-courant"/>
    <w:basedOn w:val="912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956">
    <w:name w:val="Contenu de cadre"/>
    <w:basedOn w:val="912"/>
    <w:qFormat/>
  </w:style>
  <w:style w:type="paragraph" w:styleId="957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58">
    <w:name w:val="toc 2"/>
    <w:basedOn w:val="944"/>
    <w:pPr>
      <w:ind w:left="283" w:firstLine="0"/>
      <w:tabs>
        <w:tab w:val="right" w:pos="9073" w:leader="dot"/>
      </w:tabs>
    </w:pPr>
  </w:style>
  <w:style w:type="paragraph" w:styleId="959">
    <w:name w:val="toc 3"/>
    <w:basedOn w:val="944"/>
    <w:pPr>
      <w:ind w:left="566" w:firstLine="0"/>
      <w:tabs>
        <w:tab w:val="right" w:pos="8790" w:leader="dot"/>
      </w:tabs>
    </w:pPr>
  </w:style>
  <w:style w:type="numbering" w:styleId="960" w:default="1">
    <w:name w:val="No List"/>
    <w:qFormat/>
    <w:uiPriority w:val="99"/>
    <w:semiHidden/>
    <w:unhideWhenUsed/>
  </w:style>
  <w:style w:type="table" w:styleId="9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62">
    <w:name w:val="Table Grid"/>
    <w:basedOn w:val="96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://www.hautes-pyrenees.gouv.fr/france-relance-dans-les-hautes-pyrenees-r1551.html" TargetMode="External"/><Relationship Id="rId27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8" Type="http://schemas.openxmlformats.org/officeDocument/2006/relationships/hyperlink" Target="https://www.economie.gouv.fr/plan-de-relance/profils/entreprises/aide-embauche-jeune-contrat-initiative-emploi-cie" TargetMode="External"/><Relationship Id="rId29" Type="http://schemas.openxmlformats.org/officeDocument/2006/relationships/hyperlink" Target="https://travail-emploi.gouv.fr/formation-professionnelle/entreprise-et-alternance/aide-exceptionnelle-contrat-pro" TargetMode="External"/><Relationship Id="rId30" Type="http://schemas.openxmlformats.org/officeDocument/2006/relationships/hyperlink" Target="https://travail-emploi.gouv.fr/emploi/mesures-jeunes/garantiejeunes/" TargetMode="External"/><Relationship Id="rId31" Type="http://schemas.openxmlformats.org/officeDocument/2006/relationships/hyperlink" Target="https://www.economie.gouv.fr/plan-de-relance/insertion-personnes-eloignees-emploi-pec" TargetMode="External"/><Relationship Id="rId32" Type="http://schemas.openxmlformats.org/officeDocument/2006/relationships/hyperlink" Target="https://www.economie.gouv.fr/plan-de-relance/profils/entreprises/aide-embauche-jeunes" TargetMode="External"/><Relationship Id="rId33" Type="http://schemas.openxmlformats.org/officeDocument/2006/relationships/hyperlink" Target="https://www.economie.gouv.fr/entreprises/aide-mobilisation-employeurs-embauche-travailleurs-handicapes-plan-relance" TargetMode="External"/><Relationship Id="rId34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Quentin MAIRE</cp:lastModifiedBy>
  <cp:revision>51</cp:revision>
  <dcterms:created xsi:type="dcterms:W3CDTF">2021-04-02T09:48:00Z</dcterms:created>
  <dcterms:modified xsi:type="dcterms:W3CDTF">2021-07-20T09:59:04Z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