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Indre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106_3366983294">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108_3366983294">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110_3366983294">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112_3366983294">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114_3366983294">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116_3366983294">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18_3366983294">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20_3366983294">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22_3366983294">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24_3366983294">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26_3366983294">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28_3366983294">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30_3366983294">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32_3366983294">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34_3366983294">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36_3366983294">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38_3366983294">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40_3366983294">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42_3366983294">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44_3366983294">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46_3366983294">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48_3366983294">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50_3366983294">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52_3366983294">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3"/>
        </w:numPr>
        <w:rPr>
          <w:sz w:val="44"/>
          <w:szCs w:val="44"/>
        </w:rPr>
      </w:pPr>
      <w:bookmarkStart w:id="0" w:name="__RefHeading___Toc2106_3366983294"/>
      <w:bookmarkEnd w:id="0"/>
      <w:r>
        <w:rPr>
          <w:rFonts w:ascii="Marianne" w:hAnsi="Marianne"/>
          <w:sz w:val="48"/>
          <w:szCs w:val="48"/>
        </w:rPr>
        <w:t>Volet 1 : Ecologie</w:t>
      </w:r>
    </w:p>
    <w:tbl>
      <w:tblPr>
        <w:tblW w:w="9072" w:type="dxa"/>
        <w:jc w:val="left"/>
        <w:tblInd w:w="0" w:type="dxa"/>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En matière de re-territorialisation alimentaire, le département de l’Indre connaît l’émergence de 5 Projets Alimentaires Territoriaux sur 6 territoires référencés, </w:t>
            </w:r>
            <w:r>
              <w:rPr>
                <w:rFonts w:eastAsia="Calibri" w:cs="" w:ascii="Marianne" w:hAnsi="Marianne" w:cstheme="minorBidi" w:eastAsiaTheme="minorHAnsi"/>
                <w:b w:val="false"/>
                <w:bCs w:val="false"/>
                <w:strike w:val="false"/>
                <w:dstrike w:val="false"/>
                <w:color w:val="auto"/>
                <w:sz w:val="20"/>
                <w:szCs w:val="20"/>
              </w:rPr>
              <w:t xml:space="preserve">tous retenus à la demande de certification de niveau 1 (PAT émergent) </w:t>
            </w:r>
            <w:r>
              <w:rPr>
                <w:rFonts w:eastAsia="Calibri" w:cs="" w:ascii="Marianne" w:hAnsi="Marianne" w:cstheme="minorBidi" w:eastAsiaTheme="minorHAnsi"/>
                <w:b w:val="false"/>
                <w:bCs w:val="false"/>
                <w:color w:val="auto"/>
                <w:sz w:val="20"/>
                <w:szCs w:val="20"/>
              </w:rPr>
              <w:t xml:space="preserve">avec un PAT accompagné dans sa mise en œuvre pour le Pays de Valençay en Berry. 4 PAT lauréats à l’AAP régional : Pays d’Issoudun et champagne berrichonne, Parc Naturel Régional de la Brenne, CDC Eguzon Argenton Val de Creuse, Pays Castelroussin Val de l’Indre. </w:t>
            </w:r>
          </w:p>
          <w:p>
            <w:pPr>
              <w:pStyle w:val="Contenudecadre"/>
              <w:overflowPunct w:val="true"/>
              <w:spacing w:lineRule="auto" w:line="240" w:before="0" w:after="0"/>
              <w:jc w:val="left"/>
              <w:rPr>
                <w:color w:val="auto"/>
                <w:sz w:val="20"/>
                <w:szCs w:val="20"/>
              </w:rPr>
            </w:pPr>
            <w:r>
              <w:rPr>
                <w:rFonts w:eastAsia="Calibri" w:cs="" w:ascii="Marianne" w:hAnsi="Marianne" w:cstheme="minorBidi" w:eastAsiaTheme="minorHAnsi"/>
                <w:b w:val="false"/>
                <w:bCs w:val="false"/>
                <w:color w:val="auto"/>
                <w:sz w:val="20"/>
                <w:szCs w:val="20"/>
              </w:rPr>
              <w:t>Les éleveurs de l’Indre ont aussi largement répondu aux premiers appels à projet pour l’investissement en matériels visant le développement de la filière protéine et la réduction d’utilisation de produits phytosanitaires, en cours d’instruction auprès de France Agrimer.  Un projet a été déposé à l’AAP « structuration de filière agricoles » par le collectif des éleveurs de bovins viandes du Pays de La Châtre visant à mieux valoriser la vente des bovins viande en circuit court de proximité.</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Un projet a été déposé à l’AAP « structuration de la filière protéines végétales » par les établissements Renaud, négoce agricole, ayant pour objet l’installation d’une usine de production de luzerne sur la zone d’appellation contrôlée « Valençay/ Sainte Maure/ Selles sur Cher ». </w:t>
            </w:r>
            <w:r>
              <w:rPr>
                <w:rFonts w:eastAsia="Calibri" w:cs="" w:ascii="Marianne" w:hAnsi="Marianne" w:cstheme="minorBidi" w:eastAsiaTheme="minorHAnsi"/>
                <w:b w:val="false"/>
                <w:bCs w:val="false"/>
                <w:color w:val="2A6099"/>
                <w:sz w:val="20"/>
                <w:szCs w:val="20"/>
              </w:rPr>
              <w:br/>
            </w:r>
            <w:r>
              <w:rPr>
                <w:rFonts w:eastAsia="Calibri" w:cs="" w:ascii="Marianne" w:hAnsi="Marianne" w:cstheme="minorBidi" w:eastAsiaTheme="minorHAnsi"/>
                <w:b w:val="false"/>
                <w:bCs w:val="false"/>
                <w:color w:val="000000"/>
                <w:sz w:val="20"/>
                <w:szCs w:val="20"/>
              </w:rPr>
              <w:t>Egalement,</w:t>
            </w:r>
            <w:r>
              <w:rPr>
                <w:rFonts w:eastAsia="Calibri" w:cs="" w:ascii="Marianne" w:hAnsi="Marianne" w:cstheme="minorBidi" w:eastAsiaTheme="minorHAnsi"/>
                <w:b w:val="false"/>
                <w:bCs w:val="false"/>
                <w:color w:val="auto"/>
                <w:sz w:val="20"/>
                <w:szCs w:val="20"/>
              </w:rPr>
              <w:t xml:space="preserve"> 3 abattoirs du département, à Valençay, Merigny et Lacs ont déposé des demandes de subvention au Plan de Relance et ont été éligibles à la procédure.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br/>
              <w:t xml:space="preserve">Il peut d’ores et déjà être annoncé qu’en juin 2021, trois projets sont lauréats du fonds friche – volet recyclage foncier sur les communes de Le Blanc et de Châteauroux.  Au Blanc, l’aide permettra de finaliser la réhabilitation de la friche industrielle des Groges, permettant d’accueillir une dizaine d’entreprises en attente de locaux pour exercer leur activité en bénéficiant d’installations spécifiques. La subvention versée atteint 283 000€.  Sur la commune de Châteauroux, le fonds friche a bénéficié </w:t>
            </w:r>
            <w:r>
              <w:rPr>
                <w:rFonts w:eastAsia="Calibri" w:cs="" w:ascii="Marianne" w:hAnsi="Marianne" w:cstheme="minorBidi" w:eastAsiaTheme="minorHAnsi"/>
                <w:b w:val="false"/>
                <w:bCs w:val="false"/>
                <w:color w:val="auto"/>
                <w:sz w:val="20"/>
                <w:szCs w:val="20"/>
              </w:rPr>
              <w:t xml:space="preserve">pour 5,4 M€ </w:t>
            </w:r>
            <w:r>
              <w:rPr>
                <w:rFonts w:eastAsia="Calibri" w:cs="" w:ascii="Marianne" w:hAnsi="Marianne" w:cstheme="minorBidi" w:eastAsiaTheme="minorHAnsi"/>
                <w:b w:val="false"/>
                <w:bCs w:val="false"/>
                <w:color w:val="auto"/>
                <w:sz w:val="20"/>
                <w:szCs w:val="20"/>
              </w:rPr>
              <w:t>à la Communauté d’agglomération de Châteauroux Métropole et à la CCI, sur l’ancien site industriel Balsan, visant à la constitution d’un futur pôle santé (Action Coeur de Ville, opération « réinventons nos coeurs de ville » ) et à l’extension du centre de formation.</w:t>
              <w:br/>
              <w:br/>
              <w:t xml:space="preserve">Concernant la rénovation énergétique, la DSIL et la DSID – RT vont permettre la réhabilitation thermique de 22 projets communaux et d’un projet départemental, pour un total avoisinant les 8 M€. Certaines collectivités ont bénéficié de l’appui des conseillers en énergie partagés du SDEI pour la réalisation de leurs diagnostics préalables. </w:t>
            </w:r>
          </w:p>
          <w:p>
            <w:pPr>
              <w:pStyle w:val="Contenudecadre"/>
              <w:rPr>
                <w:rFonts w:ascii="Marianne" w:hAnsi="Marianne" w:eastAsia="Calibri" w:cs="" w:cstheme="minorBidi" w:eastAsiaTheme="minorHAnsi"/>
                <w:color w:val="auto"/>
                <w:kern w:val="0"/>
                <w:sz w:val="20"/>
                <w:szCs w:val="20"/>
                <w:lang w:val="fr-FR" w:eastAsia="en-US" w:bidi="ar-SA"/>
              </w:rPr>
            </w:pPr>
            <w:r>
              <w:rPr>
                <w:rFonts w:eastAsia="Calibri" w:cs="" w:ascii="Marianne" w:hAnsi="Marianne" w:cstheme="minorBidi" w:eastAsiaTheme="minorHAnsi"/>
                <w:color w:val="auto"/>
                <w:kern w:val="0"/>
                <w:sz w:val="20"/>
                <w:szCs w:val="20"/>
                <w:lang w:val="fr-FR" w:eastAsia="en-US" w:bidi="ar-SA"/>
              </w:rPr>
              <w:t xml:space="preserve">France Relance a accompagné les Indriens dans le verdissement de leur véhicule automobile avec plus de 600 primes à la conversion et bonus écologique accordés depuis janvier 2021. </w:t>
            </w:r>
          </w:p>
          <w:p>
            <w:pPr>
              <w:pStyle w:val="Contenudecadre"/>
              <w:spacing w:before="0" w:after="160"/>
              <w:rPr>
                <w:rFonts w:ascii="Marianne" w:hAnsi="Marianne" w:eastAsia="Calibri" w:cs="" w:cstheme="minorBidi" w:eastAsiaTheme="minorHAnsi"/>
                <w:color w:val="auto"/>
                <w:kern w:val="0"/>
                <w:sz w:val="20"/>
                <w:szCs w:val="20"/>
                <w:lang w:val="fr-FR" w:eastAsia="en-US" w:bidi="ar-SA"/>
              </w:rPr>
            </w:pPr>
            <w:r>
              <w:rPr>
                <w:rFonts w:eastAsia="Calibri" w:cs="" w:ascii="Marianne" w:hAnsi="Marianne" w:cstheme="minorBidi" w:eastAsiaTheme="minorHAnsi"/>
                <w:b w:val="false"/>
                <w:bCs w:val="false"/>
                <w:color w:val="auto"/>
                <w:kern w:val="0"/>
                <w:sz w:val="20"/>
                <w:szCs w:val="20"/>
                <w:lang w:val="fr-FR" w:eastAsia="en-US" w:bidi="ar-SA"/>
              </w:rPr>
              <w:t xml:space="preserve">Au mois d’avril et mai 2021, ce sont près de 450 particuliers qui se sont saisis de MaPrimeRénov’ pour réaliser 4,5 millions d’euros de travaux et réduire l’empreinte carbone de leur logement, dont 1,1 million d’euros d’aides de l’Etat.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1" w:name="__RefHeading___Toc2108_3366983294"/>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250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208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Centre-Val de Loire</w:t>
            </w:r>
            <w:bookmarkEnd w:id="2"/>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5 546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4 939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4 328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3" w:name="__RefHeading___Toc2110_3366983294"/>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598"/>
        <w:gridCol w:w="4430"/>
        <w:gridCol w:w="2389"/>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0"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916 (10%)  </w:t>
            </w:r>
          </w:p>
        </w:tc>
        <w:tc>
          <w:tcPr>
            <w:tcW w:w="238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15.2 M€ (9%)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0"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695 (10%)  </w:t>
            </w:r>
          </w:p>
        </w:tc>
        <w:tc>
          <w:tcPr>
            <w:tcW w:w="238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12.6 M€ (9%)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0"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469 (10%)  </w:t>
            </w:r>
          </w:p>
        </w:tc>
        <w:tc>
          <w:tcPr>
            <w:tcW w:w="238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10.6 M€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598"/>
        <w:gridCol w:w="4442"/>
        <w:gridCol w:w="2377"/>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Centre-Val de Loire</w:t>
            </w:r>
            <w:bookmarkEnd w:id="4"/>
          </w:p>
        </w:tc>
      </w:tr>
      <w:tr>
        <w:trPr>
          <w:trHeight w:val="450"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9 525 (4%)  </w:t>
            </w:r>
          </w:p>
        </w:tc>
        <w:tc>
          <w:tcPr>
            <w:tcW w:w="237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165.8 M€ (4%)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7 271 (4%)  </w:t>
            </w:r>
          </w:p>
        </w:tc>
        <w:tc>
          <w:tcPr>
            <w:tcW w:w="237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141.2 M€ (4%)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4 899 (4%)  </w:t>
            </w:r>
          </w:p>
        </w:tc>
        <w:tc>
          <w:tcPr>
            <w:tcW w:w="237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119.3 M€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4"/>
        <w:gridCol w:w="4444"/>
        <w:gridCol w:w="2378"/>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4"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4"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4"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5" w:name="__RefHeading___Toc2112_3366983294"/>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(21%)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Centre-Val de Loire</w:t>
            </w:r>
            <w:bookmarkEnd w:id="6"/>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(8%)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(8%)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7" w:name="__RefHeading___Toc2114_3366983294"/>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128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128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Centre-Val de Loire</w:t>
            </w:r>
            <w:bookmarkEnd w:id="8"/>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613 (7%)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613 (7%)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9" w:name="__RefHeading___Toc2116_3366983294"/>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532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501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485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Centre-Val de Loire</w:t>
            </w:r>
            <w:bookmarkEnd w:id="10"/>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7 236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6 885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6 549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1" w:name="__RefHeading___Toc2118_3366983294"/>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Centre-Val de Loire</w:t>
            </w:r>
            <w:bookmarkEnd w:id="12"/>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(44%)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10"/>
        </w:numPr>
        <w:spacing w:lineRule="auto" w:line="240" w:before="140" w:after="120"/>
        <w:jc w:val="center"/>
        <w:rPr>
          <w:rFonts w:ascii="Marianne" w:hAnsi="Marianne"/>
          <w:sz w:val="24"/>
          <w:szCs w:val="24"/>
        </w:rPr>
      </w:pPr>
      <w:bookmarkStart w:id="13" w:name="__RefHeading___Toc2120_3366983294"/>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Centre-Val de Loire</w:t>
            </w:r>
            <w:bookmarkEnd w:id="14"/>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(5%)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Normal"/>
              <w:numPr>
                <w:ilvl w:val="0"/>
                <w:numId w:val="3"/>
              </w:numPr>
              <w:spacing w:before="0" w:after="0"/>
              <w:rPr/>
            </w:pPr>
            <w:r>
              <w:rPr>
                <w:rFonts w:ascii="ArialMT" w:hAnsi="ArialMT"/>
                <w:b w:val="false"/>
                <w:i w:val="false"/>
                <w:color w:val="169B62"/>
                <w:sz w:val="20"/>
              </w:rPr>
              <w:t>France Relance ce sont 15,5 millions d’euros mobilisés pour 49 projets de rénovation des bâtiments de l’Etat, pour un meilleur confort des agents et des usagers et une baisse de leur consommation d’énergie.</w:t>
            </w:r>
          </w:p>
          <w:p>
            <w:pPr>
              <w:pStyle w:val="Normal"/>
              <w:numPr>
                <w:ilvl w:val="0"/>
                <w:numId w:val="3"/>
              </w:numPr>
              <w:spacing w:before="0" w:after="0"/>
              <w:rPr/>
            </w:pPr>
            <w:r>
              <w:rPr>
                <w:rFonts w:ascii="ArialMT" w:hAnsi="ArialMT"/>
                <w:b w:val="false"/>
                <w:i w:val="false"/>
                <w:color w:val="000000"/>
                <w:sz w:val="20"/>
              </w:rPr>
              <w:t>En ont bénéficié :</w:t>
            </w:r>
          </w:p>
          <w:p>
            <w:pPr>
              <w:pStyle w:val="Normal"/>
              <w:numPr>
                <w:ilvl w:val="0"/>
                <w:numId w:val="3"/>
              </w:numPr>
              <w:spacing w:before="0" w:after="0"/>
              <w:rPr/>
            </w:pPr>
            <w:r>
              <w:rPr>
                <w:rFonts w:ascii="ArialMT" w:hAnsi="ArialMT"/>
                <w:b w:val="false"/>
                <w:i w:val="false"/>
                <w:color w:val="000000"/>
                <w:sz w:val="20"/>
              </w:rPr>
              <w:t>- Les locaux de la cité administrative, qui accueillent plusieurs services de l’État ;</w:t>
            </w:r>
          </w:p>
          <w:p>
            <w:pPr>
              <w:pStyle w:val="Normal"/>
              <w:numPr>
                <w:ilvl w:val="0"/>
                <w:numId w:val="3"/>
              </w:numPr>
              <w:spacing w:before="0" w:after="0"/>
              <w:rPr/>
            </w:pPr>
            <w:r>
              <w:rPr>
                <w:rFonts w:ascii="ArialMT" w:hAnsi="ArialMT"/>
                <w:b w:val="false"/>
                <w:i w:val="false"/>
                <w:color w:val="000000"/>
                <w:sz w:val="20"/>
              </w:rPr>
              <w:t>- Le commandement du soutien opérationnel de la Gendarmerie nationale au Blanc ;</w:t>
            </w:r>
          </w:p>
          <w:p>
            <w:pPr>
              <w:pStyle w:val="Normal"/>
              <w:numPr>
                <w:ilvl w:val="0"/>
                <w:numId w:val="3"/>
              </w:numPr>
              <w:spacing w:before="0" w:after="0"/>
              <w:rPr/>
            </w:pPr>
            <w:r>
              <w:rPr>
                <w:rFonts w:ascii="ArialMT" w:hAnsi="ArialMT"/>
                <w:b w:val="false"/>
                <w:i w:val="false"/>
                <w:color w:val="000000"/>
                <w:sz w:val="20"/>
              </w:rPr>
              <w:t>- La préfecture et les sous-préfectures ;</w:t>
            </w:r>
          </w:p>
          <w:p>
            <w:pPr>
              <w:pStyle w:val="Normal"/>
              <w:numPr>
                <w:ilvl w:val="0"/>
                <w:numId w:val="3"/>
              </w:numPr>
              <w:spacing w:before="0" w:after="0"/>
              <w:rPr/>
            </w:pPr>
            <w:r>
              <w:rPr>
                <w:rFonts w:ascii="ArialMT" w:hAnsi="ArialMT"/>
                <w:b w:val="false"/>
                <w:i w:val="false"/>
                <w:color w:val="000000"/>
                <w:sz w:val="20"/>
              </w:rPr>
              <w:t>- La maison centrale à Saint-Maur ;</w:t>
            </w:r>
          </w:p>
          <w:p>
            <w:pPr>
              <w:pStyle w:val="Normal"/>
              <w:numPr>
                <w:ilvl w:val="0"/>
                <w:numId w:val="3"/>
              </w:numPr>
              <w:spacing w:before="0" w:after="0"/>
              <w:rPr/>
            </w:pPr>
            <w:r>
              <w:rPr>
                <w:rFonts w:ascii="ArialMT" w:hAnsi="ArialMT"/>
                <w:b w:val="false"/>
                <w:i w:val="false"/>
                <w:color w:val="000000"/>
                <w:sz w:val="20"/>
              </w:rPr>
              <w:t>- Le tribunal judiciaire à Châteauroux.</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1"/>
        </w:numPr>
        <w:rPr>
          <w:sz w:val="44"/>
          <w:szCs w:val="44"/>
        </w:rPr>
      </w:pPr>
      <w:bookmarkStart w:id="15" w:name="__RefHeading___Toc2122_3366983294"/>
      <w:bookmarkEnd w:id="15"/>
      <w:r>
        <w:rPr>
          <w:rFonts w:ascii="Marianne" w:hAnsi="Marianne"/>
          <w:sz w:val="48"/>
          <w:szCs w:val="48"/>
        </w:rPr>
        <w:t>Volet 2 : Compétitivité</w:t>
      </w:r>
    </w:p>
    <w:tbl>
      <w:tblPr>
        <w:tblW w:w="9072" w:type="dxa"/>
        <w:jc w:val="left"/>
        <w:tblInd w:w="0" w:type="dxa"/>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color w:val="auto"/>
                <w:sz w:val="20"/>
                <w:szCs w:val="20"/>
              </w:rPr>
            </w:pPr>
            <w:r>
              <w:rPr>
                <w:rFonts w:eastAsia="Calibri" w:cs="" w:ascii="Marianne" w:hAnsi="Marianne" w:cstheme="minorBidi" w:eastAsiaTheme="minorHAnsi"/>
                <w:b w:val="false"/>
                <w:bCs w:val="false"/>
                <w:color w:val="auto"/>
                <w:sz w:val="20"/>
                <w:szCs w:val="20"/>
              </w:rPr>
              <w:t>France Relance soutient l’industrie indrienne. 17 entreprises du département ont bénéficié de 9,3 millions d’euros pour réaliser 43,2 millions d’euros d’investissement :</w:t>
            </w:r>
          </w:p>
          <w:p>
            <w:pPr>
              <w:pStyle w:val="03listetiret"/>
              <w:numPr>
                <w:ilvl w:val="0"/>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1 entreprise a été lauréate de l’appel à projet Résilience, destiné à sécuriser nos approvisionnements stratégiques : ASV Packaging à Montierchaume</w:t>
            </w:r>
          </w:p>
          <w:p>
            <w:pPr>
              <w:pStyle w:val="03listetiret"/>
              <w:numPr>
                <w:ilvl w:val="0"/>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2 entreprises indriennes ont bénéficié des fonds pour la modernisation du secteur automobile : GMC et PSG Industrie à Buzançais</w:t>
            </w:r>
          </w:p>
          <w:p>
            <w:pPr>
              <w:pStyle w:val="03listetiret"/>
              <w:numPr>
                <w:ilvl w:val="0"/>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5 entreprises indriennes ont bénéficié des fonds pour la modernisation du secteur aéronautique : Indraéro Siren au Pêchereau, SPEMA à Issoudun, Catoire Semi à Marizay, Tech Industries à Saint-Aoustrille et Satys à Déols</w:t>
            </w:r>
          </w:p>
          <w:p>
            <w:pPr>
              <w:pStyle w:val="03listetiret"/>
              <w:numPr>
                <w:ilvl w:val="0"/>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14 entreprises ont bénéficié de 5,3 millions d’euros issus du fonds de soutien à l'industrie dans les Territoires.</w:t>
            </w:r>
          </w:p>
          <w:p>
            <w:pPr>
              <w:pStyle w:val="02inter2"/>
              <w:jc w:val="both"/>
              <w:rPr>
                <w:rFonts w:ascii="Marianne" w:hAnsi="Marianne"/>
                <w:color w:val="auto"/>
                <w:sz w:val="20"/>
                <w:szCs w:val="20"/>
              </w:rPr>
            </w:pPr>
            <w:r>
              <w:rPr>
                <w:rFonts w:ascii="Marianne" w:hAnsi="Marianne"/>
                <w:color w:val="auto"/>
                <w:sz w:val="20"/>
                <w:szCs w:val="20"/>
              </w:rPr>
              <w:t xml:space="preserve">France Relance accompagne les entreprises de l’Indre à l’export. </w:t>
            </w:r>
          </w:p>
          <w:p>
            <w:pPr>
              <w:pStyle w:val="03listetiret"/>
              <w:widowControl/>
              <w:numPr>
                <w:ilvl w:val="0"/>
                <w:numId w:val="2"/>
              </w:numPr>
              <w:tabs>
                <w:tab w:val="clear" w:pos="360"/>
                <w:tab w:val="left" w:pos="-360" w:leader="none"/>
              </w:tabs>
              <w:bidi w:val="0"/>
              <w:spacing w:lineRule="exact" w:line="280" w:before="0" w:after="0"/>
              <w:ind w:left="57" w:right="0" w:hanging="0"/>
              <w:contextualSpacing/>
              <w:jc w:val="both"/>
              <w:rPr/>
            </w:pPr>
            <w:r>
              <w:rPr>
                <w:rFonts w:ascii="Marianne" w:hAnsi="Marianne"/>
                <w:color w:val="auto"/>
                <w:sz w:val="20"/>
                <w:szCs w:val="20"/>
              </w:rPr>
              <w:t xml:space="preserve">2 entreprises ont bénéficié de France Relance « chèque VIE » pour les encourager malgré le contexte sanitaire à continuer à prospecter à l’international. </w:t>
            </w:r>
          </w:p>
          <w:p>
            <w:pPr>
              <w:pStyle w:val="02inter2"/>
              <w:jc w:val="both"/>
              <w:rPr>
                <w:rFonts w:ascii="Marianne" w:hAnsi="Marianne"/>
                <w:color w:val="auto"/>
                <w:sz w:val="20"/>
                <w:szCs w:val="20"/>
              </w:rPr>
            </w:pPr>
            <w:r>
              <w:rPr>
                <w:rFonts w:ascii="Marianne" w:hAnsi="Marianne"/>
                <w:color w:val="auto"/>
                <w:sz w:val="20"/>
                <w:szCs w:val="20"/>
              </w:rPr>
              <w:t xml:space="preserve">France Relance renforce la compétitivité du territoire avec une baisse des impôts de production par an et dès 2021 de 22 millions d’euros pour près de 2 120 entreprises du département. </w:t>
            </w:r>
          </w:p>
          <w:p>
            <w:pPr>
              <w:pStyle w:val="02inter2"/>
              <w:jc w:val="both"/>
              <w:rPr>
                <w:rFonts w:ascii="Marianne" w:hAnsi="Marianne"/>
                <w:color w:val="auto"/>
                <w:sz w:val="20"/>
                <w:szCs w:val="20"/>
              </w:rPr>
            </w:pPr>
            <w:r>
              <w:rPr>
                <w:rFonts w:ascii="Marianne" w:hAnsi="Marianne"/>
                <w:color w:val="auto"/>
                <w:sz w:val="20"/>
                <w:szCs w:val="20"/>
              </w:rPr>
              <w:t>France Relance, c’est aussi le souci de maintenir un réseau de services culturels, de préserver le patrimoine et notamment les monuments historiques :</w:t>
            </w:r>
          </w:p>
          <w:p>
            <w:pPr>
              <w:pStyle w:val="03listetiret"/>
              <w:numPr>
                <w:ilvl w:val="0"/>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Le château de Châtillon sur Indre à Châtillon-sur-Indre, est un ancien logis, construit</w:t>
            </w:r>
          </w:p>
          <w:p>
            <w:pPr>
              <w:pStyle w:val="03listetiret"/>
              <w:numPr>
                <w:ilvl w:val="0"/>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au XIII</w:t>
            </w:r>
            <w:r>
              <w:rPr>
                <w:rFonts w:ascii="Marianne" w:hAnsi="Marianne"/>
                <w:color w:val="auto"/>
                <w:sz w:val="20"/>
                <w:szCs w:val="20"/>
                <w:vertAlign w:val="superscript"/>
              </w:rPr>
              <w:t xml:space="preserve">ème </w:t>
            </w:r>
            <w:r>
              <w:rPr>
                <w:rFonts w:ascii="Marianne" w:hAnsi="Marianne"/>
                <w:color w:val="auto"/>
                <w:sz w:val="20"/>
                <w:szCs w:val="20"/>
              </w:rPr>
              <w:t xml:space="preserve">siècle. Le site bénéficiera de 672 000 euros au titre du plan de relance pour </w:t>
            </w:r>
          </w:p>
          <w:p>
            <w:pPr>
              <w:pStyle w:val="03listetiret"/>
              <w:numPr>
                <w:ilvl w:val="0"/>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 xml:space="preserve">la restauration de ses terrasses (vue sur la vallée de l’Indre) et de ses façades. </w:t>
            </w:r>
          </w:p>
          <w:p>
            <w:pPr>
              <w:pStyle w:val="03listetiret"/>
              <w:numPr>
                <w:ilvl w:val="3"/>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Plusieurs établissements culturels ont également bénéficié d’un soutien pour réduire</w:t>
            </w:r>
          </w:p>
          <w:p>
            <w:pPr>
              <w:pStyle w:val="03listetiret"/>
              <w:numPr>
                <w:ilvl w:val="3"/>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leur empreinte écologique, comme la Scène nationale d’Equinoxe à Châteauroux,</w:t>
            </w:r>
          </w:p>
          <w:p>
            <w:pPr>
              <w:pStyle w:val="03listetiret"/>
              <w:numPr>
                <w:ilvl w:val="3"/>
                <w:numId w:val="2"/>
              </w:numPr>
              <w:tabs>
                <w:tab w:val="clear" w:pos="360"/>
                <w:tab w:val="left" w:pos="-360" w:leader="none"/>
              </w:tabs>
              <w:ind w:left="360" w:right="0" w:hanging="360"/>
              <w:rPr>
                <w:rFonts w:ascii="Marianne" w:hAnsi="Marianne"/>
                <w:color w:val="auto"/>
                <w:sz w:val="20"/>
                <w:szCs w:val="20"/>
              </w:rPr>
            </w:pPr>
            <w:r>
              <w:rPr>
                <w:rFonts w:ascii="Marianne" w:hAnsi="Marianne"/>
                <w:color w:val="auto"/>
                <w:sz w:val="20"/>
                <w:szCs w:val="20"/>
              </w:rPr>
              <w:t>qui mettra en œuvre un éclairage led.</w:t>
            </w:r>
          </w:p>
          <w:p>
            <w:pPr>
              <w:pStyle w:val="02inter2"/>
              <w:numPr>
                <w:ilvl w:val="0"/>
                <w:numId w:val="0"/>
              </w:numPr>
              <w:tabs>
                <w:tab w:val="clear" w:pos="720"/>
                <w:tab w:val="left" w:pos="-360" w:leader="none"/>
              </w:tabs>
              <w:ind w:left="0" w:right="0" w:hanging="0"/>
              <w:jc w:val="both"/>
              <w:rPr>
                <w:rFonts w:ascii="Marianne" w:hAnsi="Marianne"/>
                <w:color w:val="auto"/>
                <w:sz w:val="20"/>
                <w:szCs w:val="20"/>
              </w:rPr>
            </w:pPr>
            <w:r>
              <w:rPr>
                <w:rFonts w:cs="Times New Roman" w:ascii="Marianne" w:hAnsi="Marianne"/>
                <w:color w:val="auto"/>
                <w:sz w:val="20"/>
                <w:szCs w:val="20"/>
              </w:rPr>
              <w:t>Enfin, France Relance, c’est aussi l’accompagnement des petites entreprises dans la numérisation :</w:t>
            </w:r>
          </w:p>
          <w:p>
            <w:pPr>
              <w:pStyle w:val="Contenudecadre"/>
              <w:overflowPunct w:val="true"/>
              <w:spacing w:lineRule="auto" w:line="240" w:before="0" w:after="0"/>
              <w:jc w:val="left"/>
              <w:rPr>
                <w:rFonts w:ascii="Marianne" w:hAnsi="Marianne"/>
                <w:color w:val="auto"/>
                <w:sz w:val="20"/>
                <w:szCs w:val="20"/>
              </w:rPr>
            </w:pPr>
            <w:r>
              <w:rPr>
                <w:rFonts w:eastAsia="Calibri" w:cs="Times New Roman" w:ascii="Marianne" w:hAnsi="Marianne" w:eastAsiaTheme="minorHAnsi"/>
                <w:b w:val="false"/>
                <w:bCs w:val="false"/>
                <w:color w:val="auto"/>
                <w:sz w:val="20"/>
                <w:szCs w:val="20"/>
              </w:rPr>
              <w:t xml:space="preserve">33 entreprises ont bénéficié du plan de numérisation des TPE pour un montant d’aide accordé de 1,3 millions d’euros.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6" w:name="__RefHeading___Toc2124_3366983294"/>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(17%)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Centre-Val de Loire</w:t>
            </w:r>
            <w:bookmarkEnd w:id="17"/>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66 (8%)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50 (7%)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steanerie dubois </w:t>
              <w:br/>
              <w:t xml:space="preserve">- Astronic PGA </w:t>
              <w:br/>
              <w:t xml:space="preserve">- Id logistics </w:t>
              <w:br/>
              <w:t xml:space="preserve">- Roger Prédier </w:t>
              <w:br/>
              <w:t xml:space="preserve">- Siemel </w:t>
              <w:br/>
              <w:t xml:space="preserve">- B.Cosmétique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18" w:name="__RefHeading___Toc2126_3366983294"/>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Centre-Val de Loire</w:t>
            </w:r>
            <w:bookmarkEnd w:id="19"/>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xml:space="preserve">ASV packaging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0" w:name="__RefHeading___Toc2128_3366983294"/>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98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78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60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Centre-Val de Loire</w:t>
            </w:r>
            <w:bookmarkEnd w:id="21"/>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1 698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1 321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946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- 20 lauréats pour une aide de 500€ soit un montant total de 10 000 € pour les TPE ayant engagé une dépense de numérisation.</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Plusieurs entreprises bénéficiaires du guichet « industrie du futur #2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Lenzi</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Prodisal</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Delta Métal...</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2" w:name="__RefHeading___Toc2130_3366983294"/>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Centre-Val de Loire</w:t>
            </w:r>
            <w:bookmarkEnd w:id="23"/>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142 (6%)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77 (8%)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4" w:name="__RefHeading___Toc2132_3366983294"/>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Centre-Val de Loire</w:t>
            </w:r>
            <w:bookmarkEnd w:id="25"/>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93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75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7"/>
        </w:numPr>
        <w:spacing w:lineRule="auto" w:line="240" w:before="140" w:after="120"/>
        <w:jc w:val="center"/>
        <w:rPr>
          <w:rFonts w:ascii="Marianne" w:hAnsi="Marianne"/>
          <w:sz w:val="24"/>
          <w:szCs w:val="24"/>
        </w:rPr>
      </w:pPr>
      <w:bookmarkStart w:id="26" w:name="__RefHeading___Toc2134_3366983294"/>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Centre-Val de Loire</w:t>
            </w:r>
            <w:bookmarkEnd w:id="27"/>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126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119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8"/>
        </w:numPr>
        <w:rPr>
          <w:sz w:val="44"/>
          <w:szCs w:val="44"/>
        </w:rPr>
      </w:pPr>
      <w:bookmarkStart w:id="28" w:name="__RefHeading___Toc2136_3366983294"/>
      <w:bookmarkEnd w:id="28"/>
      <w:r>
        <w:rPr>
          <w:rFonts w:ascii="Marianne" w:hAnsi="Marianne"/>
          <w:sz w:val="48"/>
          <w:szCs w:val="48"/>
        </w:rPr>
        <w:t>Volet 3 : Cohésion</w:t>
      </w:r>
    </w:p>
    <w:tbl>
      <w:tblPr>
        <w:tblW w:w="9072" w:type="dxa"/>
        <w:jc w:val="left"/>
        <w:tblInd w:w="0" w:type="dxa"/>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fill="auto" w:val="clear"/>
          </w:tcPr>
          <w:p>
            <w:pPr>
              <w:pStyle w:val="Contenudecadre"/>
              <w:overflowPunct w:val="true"/>
              <w:spacing w:lineRule="auto" w:line="240" w:before="0" w:after="0"/>
              <w:jc w:val="left"/>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Au titre du programme national de renforcement des ponts des collectivités territoriales, 22 % des communes éligibles de l’Indre ont manifesté leur intérêt pour bénéficier d’un premier diagnostic permettant d’identifier le besoin d’intervention sur les ouvrages de leur territoire. Le travail de démarchage se poursuit. </w:t>
              <w:br/>
              <w:t xml:space="preserve"> </w:t>
              <w:br/>
              <w:t xml:space="preserve">Un volet du Plan de relance est consacré à la rénovation des aires d’accueil des populations de gens du voyage. L’agglomération de Châteauroux est attributaire pour 2021 d’une subvention à hauteur de 205 000 € pour mener un projet de réhabilitation et redimensionnement de son aire d’accueil des gens du voyage de Notz.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rPr>
                <w:sz w:val="20"/>
                <w:szCs w:val="20"/>
              </w:rPr>
            </w:pPr>
            <w:r>
              <w:rPr>
                <w:sz w:val="20"/>
                <w:szCs w:val="20"/>
              </w:rPr>
              <w:t>F</w:t>
            </w:r>
            <w:r>
              <w:rPr>
                <w:rFonts w:ascii="Marianne" w:hAnsi="Marianne"/>
                <w:sz w:val="20"/>
                <w:szCs w:val="20"/>
              </w:rPr>
              <w:t xml:space="preserve">rance Relance donne des perspectives aux jeunes avec le plan « 1 jeune, 1 solution ». </w:t>
              <w:br/>
              <w:t>Plus de 1 700 jeunes Indriens ont bénéficié du « plan jeunes » depuis 2020 dont  620 primes à l’embauche financées par France Relance et 1167 contrats d’apprentissage aidés par France Relance.</w:t>
            </w:r>
          </w:p>
          <w:p>
            <w:pPr>
              <w:pStyle w:val="Contenudecadre"/>
              <w:rPr>
                <w:rFonts w:ascii="Marianne" w:hAnsi="Marianne"/>
                <w:sz w:val="20"/>
                <w:szCs w:val="20"/>
              </w:rPr>
            </w:pPr>
            <w:r>
              <w:rPr>
                <w:rFonts w:ascii="Marianne" w:hAnsi="Marianne"/>
                <w:sz w:val="20"/>
                <w:szCs w:val="20"/>
              </w:rPr>
              <w:t xml:space="preserve">Les communes de l’Indre et leurs groupements sont aidées  dans leurs projets d’investissement local : 17 communes ont bénéficié de près d’1,5 million d’euros de dotation à l’investissement local pour réaliser 7,2 millions d’euros d’investissements publics et notamment : </w:t>
            </w:r>
          </w:p>
          <w:p>
            <w:pPr>
              <w:pStyle w:val="Contenudecadre"/>
              <w:numPr>
                <w:ilvl w:val="0"/>
                <w:numId w:val="3"/>
              </w:numPr>
              <w:rPr>
                <w:rFonts w:ascii="Marianne" w:hAnsi="Marianne"/>
                <w:sz w:val="20"/>
                <w:szCs w:val="20"/>
              </w:rPr>
            </w:pPr>
            <w:r>
              <w:rPr>
                <w:rFonts w:ascii="Marianne" w:hAnsi="Marianne"/>
                <w:sz w:val="20"/>
                <w:szCs w:val="20"/>
              </w:rPr>
              <w:t xml:space="preserve"> </w:t>
            </w:r>
            <w:r>
              <w:rPr>
                <w:rFonts w:ascii="Marianne" w:hAnsi="Marianne"/>
                <w:sz w:val="20"/>
                <w:szCs w:val="20"/>
              </w:rPr>
              <w:t>-  la rénovation et l’extension de la piscine à Chabris</w:t>
            </w:r>
          </w:p>
          <w:p>
            <w:pPr>
              <w:pStyle w:val="Contenudecadre"/>
              <w:numPr>
                <w:ilvl w:val="0"/>
                <w:numId w:val="3"/>
              </w:numPr>
              <w:rPr>
                <w:rFonts w:ascii="Marianne" w:hAnsi="Marianne"/>
                <w:sz w:val="20"/>
                <w:szCs w:val="20"/>
              </w:rPr>
            </w:pPr>
            <w:r>
              <w:rPr>
                <w:rFonts w:ascii="Marianne" w:hAnsi="Marianne"/>
                <w:sz w:val="20"/>
                <w:szCs w:val="20"/>
              </w:rPr>
              <w:t xml:space="preserve"> </w:t>
            </w:r>
            <w:r>
              <w:rPr>
                <w:rFonts w:ascii="Marianne" w:hAnsi="Marianne"/>
                <w:sz w:val="20"/>
                <w:szCs w:val="20"/>
              </w:rPr>
              <w:t>-  la réfection des toitures - charpentes du château du Courbat à Pêchereau, qui accueille la mairie</w:t>
            </w:r>
          </w:p>
          <w:p>
            <w:pPr>
              <w:pStyle w:val="Contenudecadre"/>
              <w:numPr>
                <w:ilvl w:val="0"/>
                <w:numId w:val="3"/>
              </w:numPr>
              <w:rPr>
                <w:rFonts w:ascii="Marianne" w:hAnsi="Marianne"/>
                <w:sz w:val="20"/>
                <w:szCs w:val="20"/>
              </w:rPr>
            </w:pPr>
            <w:r>
              <w:rPr>
                <w:rFonts w:ascii="Marianne" w:hAnsi="Marianne"/>
                <w:sz w:val="20"/>
                <w:szCs w:val="20"/>
              </w:rPr>
              <w:t xml:space="preserve"> </w:t>
            </w:r>
            <w:r>
              <w:rPr>
                <w:rFonts w:ascii="Marianne" w:hAnsi="Marianne"/>
                <w:sz w:val="20"/>
                <w:szCs w:val="20"/>
              </w:rPr>
              <w:t>-  la création d’une usine école dédiée aux métiers de la maroquinerie à Châteauroux.</w:t>
            </w:r>
          </w:p>
          <w:p>
            <w:pPr>
              <w:pStyle w:val="Contenudecadre"/>
              <w:spacing w:before="0" w:after="160"/>
              <w:rPr>
                <w:rFonts w:ascii="Marianne" w:hAnsi="Marianne"/>
                <w:sz w:val="20"/>
                <w:szCs w:val="20"/>
              </w:rPr>
            </w:pPr>
            <w:r>
              <w:rPr>
                <w:rFonts w:ascii="Marianne" w:hAnsi="Marianne"/>
                <w:sz w:val="20"/>
                <w:szCs w:val="20"/>
              </w:rPr>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29" w:name="__RefHeading___Toc2138_3366983294"/>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1 303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1 249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1 167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Centre-Val de Loire</w:t>
            </w:r>
            <w:bookmarkEnd w:id="30"/>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16 061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15 189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14 223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1" w:name="__RefHeading___Toc2140_3366983294"/>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126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89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49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Centre-Val de Loire</w:t>
            </w:r>
            <w:bookmarkEnd w:id="32"/>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991 (5%)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641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355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3" w:name="__RefHeading___Toc2142_3366983294"/>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56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54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Centre-Val de Loire</w:t>
            </w:r>
            <w:bookmarkEnd w:id="34"/>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1 188 (2%)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1 070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888 (2%)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5" w:name="__RefHeading___Toc2144_3366983294"/>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305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220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202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Centre-Val de Loire</w:t>
            </w:r>
            <w:bookmarkEnd w:id="36"/>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2 783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2 277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1 903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7" w:name="__RefHeading___Toc2146_3366983294"/>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52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Centre-Val de Loire</w:t>
            </w:r>
            <w:bookmarkEnd w:id="38"/>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566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456 (3%)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389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39" w:name="__RefHeading___Toc2148_3366983294"/>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868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741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620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Centre-Val de Loire</w:t>
            </w:r>
            <w:bookmarkEnd w:id="40"/>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13 025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11 447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9 815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1" w:name="__RefHeading___Toc2150_3366983294"/>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Centre-Val de Loire</w:t>
            </w:r>
            <w:bookmarkEnd w:id="42"/>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496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408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349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6"/>
        </w:numPr>
        <w:spacing w:lineRule="auto" w:line="240" w:before="140" w:after="120"/>
        <w:jc w:val="center"/>
        <w:rPr>
          <w:rFonts w:ascii="Marianne" w:hAnsi="Marianne"/>
          <w:sz w:val="24"/>
          <w:szCs w:val="24"/>
        </w:rPr>
      </w:pPr>
      <w:bookmarkStart w:id="43" w:name="__RefHeading___Toc2152_3366983294"/>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285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285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276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5"/>
        <w:gridCol w:w="5631"/>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Centre-Val de Loire</w:t>
            </w:r>
            <w:bookmarkEnd w:id="44"/>
          </w:p>
        </w:tc>
      </w:tr>
      <w:tr>
        <w:trPr>
          <w:trHeight w:val="450" w:hRule="atLeast"/>
        </w:trPr>
        <w:tc>
          <w:tcPr>
            <w:tcW w:w="37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2 874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2 874 (4%)  </w:t>
            </w:r>
          </w:p>
        </w:tc>
      </w:tr>
      <w:tr>
        <w:trPr>
          <w:trHeight w:val="545" w:hRule="atLeast"/>
        </w:trPr>
        <w:tc>
          <w:tcPr>
            <w:tcW w:w="378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2 659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0"/>
        <w:gridCol w:w="5635"/>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66" y="0"/>
              <wp:lineTo x="-666" y="20644"/>
              <wp:lineTo x="20537" y="20644"/>
              <wp:lineTo x="20537" y="0"/>
              <wp:lineTo x="-666"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34" y="0"/>
              <wp:lineTo x="-1334" y="19191"/>
              <wp:lineTo x="20013" y="19191"/>
              <wp:lineTo x="20013" y="0"/>
              <wp:lineTo x="-1334"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character" w:styleId="ListLabel12">
    <w:name w:val="ListLabel 12"/>
    <w:qFormat/>
    <w:rPr>
      <w:rFonts w:ascii="Marianne" w:hAnsi="Marianne" w:cs="Arial"/>
      <w:i/>
      <w:iCs/>
      <w:color w:val="00A65D"/>
      <w:sz w:val="22"/>
      <w:szCs w:val="22"/>
    </w:rPr>
  </w:style>
  <w:style w:type="character" w:styleId="ListLabel13">
    <w:name w:val="ListLabel 13"/>
    <w:qFormat/>
    <w:rPr>
      <w:rFonts w:ascii="Marianne" w:hAnsi="Marianne" w:cs="Marianne"/>
      <w:color w:val="00A65D"/>
      <w:sz w:val="40"/>
      <w:szCs w:val="40"/>
      <w:u w:val="single"/>
    </w:rPr>
  </w:style>
  <w:style w:type="character" w:styleId="ListLabel14">
    <w:name w:val="ListLabel 14"/>
    <w:qFormat/>
    <w:rPr>
      <w:rFonts w:ascii="Marianne" w:hAnsi="Marianne" w:cs="Arial"/>
      <w:i/>
      <w:iCs/>
      <w:color w:val="00A65D"/>
      <w:sz w:val="22"/>
      <w:szCs w:val="22"/>
    </w:rPr>
  </w:style>
  <w:style w:type="character" w:styleId="ListLabel15">
    <w:name w:val="ListLabel 15"/>
    <w:qFormat/>
    <w:rPr>
      <w:rFonts w:ascii="Marianne" w:hAnsi="Marianne" w:cs="Marianne"/>
      <w:color w:val="00A65D"/>
      <w:sz w:val="40"/>
      <w:szCs w:val="4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clear" w:pos="720"/>
        <w:tab w:val="right" w:pos="9073" w:leader="dot"/>
      </w:tabs>
      <w:ind w:left="283" w:hanging="0"/>
    </w:pPr>
    <w:rPr/>
  </w:style>
  <w:style w:type="paragraph" w:styleId="Tabledesmatiresniveau3">
    <w:name w:val="TOC 3"/>
    <w:basedOn w:val="Index"/>
    <w:pPr>
      <w:tabs>
        <w:tab w:val="clear" w:pos="720"/>
        <w:tab w:val="right" w:pos="8790" w:leader="dot"/>
      </w:tabs>
      <w:ind w:left="566" w:hanging="0"/>
    </w:pPr>
    <w:rPr/>
  </w:style>
  <w:style w:type="paragraph" w:styleId="ListParagraph">
    <w:name w:val="List Paragraph"/>
    <w:basedOn w:val="Normal"/>
    <w:qFormat/>
    <w:pPr>
      <w:spacing w:before="0" w:after="0"/>
      <w:ind w:left="720" w:right="0" w:hanging="0"/>
      <w:contextualSpacing/>
    </w:pPr>
    <w:rPr/>
  </w:style>
  <w:style w:type="paragraph" w:styleId="03listetiret">
    <w:name w:val="03_liste-tiret"/>
    <w:basedOn w:val="ListParagraph"/>
    <w:qFormat/>
    <w:pPr>
      <w:tabs>
        <w:tab w:val="clear" w:pos="720"/>
        <w:tab w:val="left" w:pos="360" w:leader="none"/>
      </w:tabs>
      <w:spacing w:lineRule="exact" w:line="280" w:before="0" w:after="0"/>
      <w:ind w:left="720" w:right="0" w:hanging="0"/>
      <w:contextualSpacing/>
      <w:jc w:val="both"/>
    </w:pPr>
    <w:rPr>
      <w:rFonts w:ascii="Arial" w:hAnsi="Arial" w:cs="Arial"/>
      <w:sz w:val="20"/>
      <w:szCs w:val="20"/>
    </w:rPr>
  </w:style>
  <w:style w:type="paragraph" w:styleId="02inter2">
    <w:name w:val="02_inter 2"/>
    <w:qFormat/>
    <w:pPr>
      <w:widowControl/>
      <w:suppressAutoHyphens w:val="true"/>
      <w:bidi w:val="0"/>
      <w:spacing w:lineRule="exact" w:line="280" w:before="120" w:after="80"/>
      <w:jc w:val="left"/>
    </w:pPr>
    <w:rPr>
      <w:rFonts w:ascii="Arial" w:hAnsi="Arial" w:eastAsia="Calibri" w:cs="Arial" w:eastAsiaTheme="minorHAnsi"/>
      <w:bCs/>
      <w:color w:val="169B62"/>
      <w:kern w:val="0"/>
      <w:sz w:val="22"/>
      <w:szCs w:val="20"/>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LibreOffice/6.2.8.2.M1$Windows_X86_64 LibreOffice_project/ba352b96595e9b31d57a5fb2829eccca433f28f7</Application>
  <Pages>26</Pages>
  <Words>3838</Words>
  <Characters>18965</Characters>
  <CharactersWithSpaces>23014</CharactersWithSpaces>
  <Paragraphs>731</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2021-07-19T19:07:55Z</dcterms:created>
  <dc:creator/>
  <dc:description/>
  <dc:language>fr-FR</dc:language>
  <cp:lastModifiedBy/>
  <dcterms:modified xsi:type="dcterms:W3CDTF">2021-07-19T23:41:38Z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