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media/image2.png" ContentType="image/png"/>
  <Override PartName="/word/media/image1.png" ContentType="image/png"/>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Marianne" w:hAnsi="Marianne" w:cs="Arial"/>
          <w:sz w:val="56"/>
          <w:szCs w:val="56"/>
        </w:rPr>
      </w:pPr>
      <w:r>
        <w:rPr>
          <w:rFonts w:cs="Arial" w:ascii="Marianne" w:hAnsi="Marianne"/>
          <w:sz w:val="56"/>
          <w:szCs w:val="56"/>
        </w:rPr>
      </w:r>
    </w:p>
    <w:p>
      <w:pPr>
        <w:pStyle w:val="Normal"/>
        <w:rPr>
          <w:rFonts w:ascii="Marianne" w:hAnsi="Marianne" w:cs="Arial"/>
          <w:sz w:val="56"/>
          <w:szCs w:val="56"/>
        </w:rPr>
      </w:pPr>
      <w:r>
        <w:rPr>
          <w:rFonts w:cs="Arial" w:ascii="Marianne" w:hAnsi="Marianne"/>
          <w:sz w:val="56"/>
          <w:szCs w:val="56"/>
        </w:rPr>
      </w:r>
    </w:p>
    <w:p>
      <w:pPr>
        <w:pStyle w:val="Normal"/>
        <w:rPr>
          <w:rFonts w:ascii="Marianne" w:hAnsi="Marianne" w:cs="Arial"/>
          <w:sz w:val="56"/>
          <w:szCs w:val="56"/>
        </w:rPr>
      </w:pPr>
      <w:r>
        <w:rPr>
          <w:rFonts w:cs="Arial" w:ascii="Marianne" w:hAnsi="Marianne"/>
          <w:sz w:val="56"/>
          <w:szCs w:val="56"/>
        </w:rPr>
      </w:r>
    </w:p>
    <w:p>
      <w:pPr>
        <w:pStyle w:val="Normal"/>
        <w:rPr>
          <w:rFonts w:ascii="Marianne" w:hAnsi="Marianne" w:cs="Arial"/>
          <w:sz w:val="56"/>
          <w:szCs w:val="56"/>
        </w:rPr>
      </w:pPr>
      <w:r>
        <w:rPr>
          <w:rFonts w:cs="Arial" w:ascii="Marianne" w:hAnsi="Marianne"/>
          <w:sz w:val="56"/>
          <w:szCs w:val="56"/>
        </w:rPr>
      </w:r>
    </w:p>
    <w:p>
      <w:pPr>
        <w:pStyle w:val="Normal"/>
        <w:rPr/>
      </w:pPr>
      <w:r>
        <w:rPr>
          <w:rFonts w:cs="Arial" w:ascii="Marianne" w:hAnsi="Marianne"/>
          <w:b/>
          <w:bCs/>
          <w:sz w:val="56"/>
          <w:szCs w:val="56"/>
        </w:rPr>
        <w:t>SUIVI TERRITORIAL</w:t>
      </w:r>
    </w:p>
    <w:p>
      <w:pPr>
        <w:pStyle w:val="Normal"/>
        <w:rPr/>
      </w:pPr>
      <w:r>
        <w:rPr>
          <w:rFonts w:cs="Arial" w:ascii="Marianne" w:hAnsi="Marianne"/>
          <w:b/>
          <w:bCs/>
          <w:sz w:val="56"/>
          <w:szCs w:val="56"/>
        </w:rPr>
        <w:t>DU PLAN FRANCE RELANCE</w:t>
      </w:r>
    </w:p>
    <w:p>
      <w:pPr>
        <w:pStyle w:val="Normal"/>
        <w:rPr>
          <w:rFonts w:ascii="Marianne" w:hAnsi="Marianne" w:cs="Arial"/>
          <w:sz w:val="56"/>
          <w:szCs w:val="56"/>
        </w:rPr>
      </w:pPr>
      <w:r>
        <w:rPr>
          <w:rFonts w:cs="Arial" w:ascii="Marianne" w:hAnsi="Marianne"/>
          <w:sz w:val="56"/>
          <w:szCs w:val="56"/>
        </w:rPr>
      </w:r>
    </w:p>
    <w:p>
      <w:pPr>
        <w:pStyle w:val="Normal"/>
        <w:rPr>
          <w:rFonts w:ascii="Marianne" w:hAnsi="Marianne"/>
        </w:rPr>
      </w:pPr>
      <w:r>
        <w:rPr>
          <w:rFonts w:cs="Arial" w:ascii="Marianne" w:hAnsi="Marianne"/>
          <w:i/>
          <w:iCs/>
          <w:sz w:val="40"/>
          <w:szCs w:val="40"/>
        </w:rPr>
        <w:t>Données pour le département : Landes</w:t>
      </w:r>
    </w:p>
    <w:p>
      <w:pPr>
        <w:pStyle w:val="Normal"/>
        <w:rPr/>
      </w:pPr>
      <w:r>
        <w:rPr>
          <w:rFonts w:cs="Arial" w:ascii="Marianne" w:hAnsi="Marianne"/>
          <w:i/>
          <w:iCs/>
          <w:sz w:val="40"/>
          <w:szCs w:val="40"/>
        </w:rPr>
        <w:t>Date : Mai 2021</w:t>
      </w:r>
    </w:p>
    <w:p>
      <w:pPr>
        <w:pStyle w:val="Normal"/>
        <w:rPr>
          <w:rFonts w:ascii="Marianne" w:hAnsi="Marianne" w:cs="Arial"/>
          <w:i/>
          <w:i/>
          <w:iCs/>
          <w:sz w:val="56"/>
          <w:szCs w:val="56"/>
        </w:rPr>
      </w:pPr>
      <w:r>
        <w:rPr>
          <w:rFonts w:cs="Arial" w:ascii="Marianne" w:hAnsi="Marianne"/>
          <w:i/>
          <w:iCs/>
          <w:sz w:val="56"/>
          <w:szCs w:val="56"/>
        </w:rPr>
      </w:r>
    </w:p>
    <w:p>
      <w:pPr>
        <w:pStyle w:val="03textecourant"/>
        <w:jc w:val="both"/>
        <w:rPr/>
      </w:pPr>
      <w:r>
        <w:rPr>
          <w:rFonts w:ascii="Marianne" w:hAnsi="Marianne"/>
          <w:sz w:val="22"/>
          <w:szCs w:val="22"/>
        </w:rPr>
        <w:t>Les portraits de la relance illustrent l’ancrage territorial du plan et les bénéfices générés localement</w:t>
      </w:r>
      <w:r>
        <w:rPr>
          <w:rFonts w:cs="Calibri" w:ascii="Calibri" w:hAnsi="Calibri"/>
          <w:sz w:val="22"/>
          <w:szCs w:val="22"/>
        </w:rPr>
        <w:t xml:space="preserve"> </w:t>
      </w:r>
      <w:r>
        <w:rPr>
          <w:rFonts w:ascii="Marianne" w:hAnsi="Marianne"/>
          <w:sz w:val="22"/>
          <w:szCs w:val="22"/>
        </w:rPr>
        <w:t>: cr</w:t>
      </w:r>
      <w:r>
        <w:rPr>
          <w:rFonts w:cs="Marianne" w:ascii="Marianne" w:hAnsi="Marianne"/>
          <w:sz w:val="22"/>
          <w:szCs w:val="22"/>
        </w:rPr>
        <w:t>é</w:t>
      </w:r>
      <w:r>
        <w:rPr>
          <w:rFonts w:ascii="Marianne" w:hAnsi="Marianne"/>
          <w:sz w:val="22"/>
          <w:szCs w:val="22"/>
        </w:rPr>
        <w:t>ations d’emploi, développement économique, amélioration de l’empreinte écologique…dans tous les départements de France.</w:t>
      </w:r>
    </w:p>
    <w:p>
      <w:pPr>
        <w:pStyle w:val="Customstyle"/>
        <w:jc w:val="both"/>
        <w:rPr>
          <w:i w:val="false"/>
          <w:i w:val="false"/>
          <w:iCs w:val="false"/>
          <w:sz w:val="22"/>
          <w:szCs w:val="22"/>
        </w:rPr>
      </w:pPr>
      <w:r>
        <w:rPr>
          <w:rFonts w:cs="Arial" w:ascii="Marianne" w:hAnsi="Marianne"/>
          <w:i w:val="false"/>
          <w:iCs w:val="false"/>
          <w:sz w:val="22"/>
          <w:szCs w:val="22"/>
        </w:rPr>
        <w:t>A fin juin 2021, près de 300 portraits de la relance sont répertoriés, représentant tous les départements et les trois axes de France Relance. Retrouvez-les sur</w:t>
      </w:r>
      <w:r>
        <w:rPr>
          <w:rFonts w:cs="Calibri"/>
          <w:i w:val="false"/>
          <w:iCs w:val="false"/>
          <w:sz w:val="22"/>
          <w:szCs w:val="22"/>
        </w:rPr>
        <w:t xml:space="preserve"> </w:t>
      </w:r>
      <w:r>
        <w:rPr>
          <w:rFonts w:cs="Calibri" w:ascii="Marianne" w:hAnsi="Marianne"/>
          <w:i w:val="false"/>
          <w:iCs w:val="false"/>
          <w:sz w:val="22"/>
          <w:szCs w:val="22"/>
        </w:rPr>
        <w:t>les</w:t>
      </w:r>
      <w:r>
        <w:rPr>
          <w:rFonts w:cs="Calibri"/>
          <w:i w:val="false"/>
          <w:iCs w:val="false"/>
          <w:sz w:val="22"/>
          <w:szCs w:val="22"/>
        </w:rPr>
        <w:t xml:space="preserve"> </w:t>
      </w:r>
    </w:p>
    <w:p>
      <w:pPr>
        <w:pStyle w:val="Customstyle2"/>
        <w:jc w:val="both"/>
        <w:rPr/>
      </w:pPr>
      <w:hyperlink r:id="rId2">
        <w:r>
          <w:rPr>
            <w:rStyle w:val="LienInternetvisit"/>
            <w:rFonts w:cs="Arial" w:ascii="Marianne" w:hAnsi="Marianne"/>
            <w:i/>
            <w:iCs/>
            <w:color w:val="00A65D"/>
            <w:sz w:val="22"/>
            <w:szCs w:val="22"/>
          </w:rPr>
          <w:t>Portraits de la relance</w:t>
        </w:r>
      </w:hyperlink>
      <w:r>
        <w:br w:type="page"/>
      </w:r>
    </w:p>
    <w:p>
      <w:pPr>
        <w:pStyle w:val="Normal"/>
        <w:rPr>
          <w:rFonts w:ascii="Marianne" w:hAnsi="Marianne"/>
          <w:b/>
          <w:b/>
          <w:bCs/>
          <w:sz w:val="50"/>
          <w:szCs w:val="50"/>
        </w:rPr>
      </w:pPr>
      <w:r>
        <w:rPr>
          <w:rFonts w:ascii="Marianne" w:hAnsi="Marianne"/>
          <w:b/>
          <w:bCs/>
          <w:sz w:val="50"/>
          <w:szCs w:val="50"/>
        </w:rPr>
      </w:r>
    </w:p>
    <w:sdt>
      <w:sdtPr>
        <w:docPartObj>
          <w:docPartGallery w:val="Table of Contents"/>
          <w:docPartUnique w:val="true"/>
        </w:docPartObj>
        <w:id w:val="1606601404"/>
      </w:sdtPr>
      <w:sdtContent>
        <w:p>
          <w:pPr>
            <w:pStyle w:val="TOCHeading"/>
            <w:rPr/>
          </w:pPr>
          <w:r>
            <w:rPr>
              <w:rFonts w:ascii="Marianne" w:hAnsi="Marianne"/>
              <w:b/>
              <w:bCs/>
              <w:color w:val="000000"/>
              <w:sz w:val="48"/>
              <w:szCs w:val="48"/>
            </w:rPr>
            <w:t>Table des matières</w:t>
          </w:r>
        </w:p>
        <w:p>
          <w:pPr>
            <w:pStyle w:val="Tabledesmatiresniveau2"/>
            <w:tabs>
              <w:tab w:val="right" w:pos="9356" w:leader="dot"/>
            </w:tabs>
            <w:rPr/>
          </w:pPr>
          <w:r>
            <w:fldChar w:fldCharType="begin"/>
          </w:r>
          <w:r>
            <w:rPr>
              <w:webHidden/>
              <w:rStyle w:val="Sautdindex"/>
            </w:rPr>
            <w:instrText> TOC \z \o "1-3" \u \h</w:instrText>
          </w:r>
          <w:r>
            <w:rPr>
              <w:webHidden/>
              <w:rStyle w:val="Sautdindex"/>
            </w:rPr>
            <w:fldChar w:fldCharType="separate"/>
          </w:r>
          <w:hyperlink w:anchor="__RefHeading___Toc2142_1822059409">
            <w:r>
              <w:rPr>
                <w:webHidden/>
                <w:rStyle w:val="Sautdindex"/>
              </w:rPr>
              <w:t>Volet 1 : Ecologie</w:t>
              <w:tab/>
              <w:t>3</w:t>
            </w:r>
          </w:hyperlink>
        </w:p>
        <w:p>
          <w:pPr>
            <w:pStyle w:val="Tabledesmatiresniveau3"/>
            <w:tabs>
              <w:tab w:val="right" w:pos="9356" w:leader="dot"/>
            </w:tabs>
            <w:rPr/>
          </w:pPr>
          <w:hyperlink w:anchor="__RefHeading___Toc2144_1822059409">
            <w:r>
              <w:rPr>
                <w:webHidden/>
                <w:rStyle w:val="Sautdindex"/>
              </w:rPr>
              <w:t>1 - Bonus écologique</w:t>
              <w:tab/>
              <w:t>4</w:t>
            </w:r>
          </w:hyperlink>
        </w:p>
        <w:p>
          <w:pPr>
            <w:pStyle w:val="Tabledesmatiresniveau3"/>
            <w:tabs>
              <w:tab w:val="right" w:pos="9356" w:leader="dot"/>
            </w:tabs>
            <w:rPr/>
          </w:pPr>
          <w:hyperlink w:anchor="__RefHeading___Toc2146_1822059409">
            <w:r>
              <w:rPr>
                <w:webHidden/>
                <w:rStyle w:val="Sautdindex"/>
              </w:rPr>
              <w:t>2 - MaPrimeRénov'</w:t>
              <w:tab/>
              <w:t>5</w:t>
            </w:r>
          </w:hyperlink>
        </w:p>
        <w:p>
          <w:pPr>
            <w:pStyle w:val="Tabledesmatiresniveau3"/>
            <w:tabs>
              <w:tab w:val="right" w:pos="9356" w:leader="dot"/>
            </w:tabs>
            <w:rPr/>
          </w:pPr>
          <w:hyperlink w:anchor="__RefHeading___Toc2148_1822059409">
            <w:r>
              <w:rPr>
                <w:webHidden/>
                <w:rStyle w:val="Sautdindex"/>
              </w:rPr>
              <w:t>3 - Modernisation des filières automobiles et aéronautiques</w:t>
              <w:tab/>
              <w:t>6</w:t>
            </w:r>
          </w:hyperlink>
        </w:p>
        <w:p>
          <w:pPr>
            <w:pStyle w:val="Tabledesmatiresniveau3"/>
            <w:tabs>
              <w:tab w:val="right" w:pos="9356" w:leader="dot"/>
            </w:tabs>
            <w:rPr/>
          </w:pPr>
          <w:hyperlink w:anchor="__RefHeading___Toc2150_1822059409">
            <w:r>
              <w:rPr>
                <w:webHidden/>
                <w:rStyle w:val="Sautdindex"/>
              </w:rPr>
              <w:t>4 - Prime à la conversion des agroéquipements</w:t>
              <w:tab/>
              <w:t>7</w:t>
            </w:r>
          </w:hyperlink>
        </w:p>
        <w:p>
          <w:pPr>
            <w:pStyle w:val="Tabledesmatiresniveau3"/>
            <w:tabs>
              <w:tab w:val="right" w:pos="9356" w:leader="dot"/>
            </w:tabs>
            <w:rPr/>
          </w:pPr>
          <w:hyperlink w:anchor="__RefHeading___Toc2152_1822059409">
            <w:r>
              <w:rPr>
                <w:webHidden/>
                <w:rStyle w:val="Sautdindex"/>
              </w:rPr>
              <w:t>5 - Prime à la conversion des véhicules légers</w:t>
              <w:tab/>
              <w:t>8</w:t>
            </w:r>
          </w:hyperlink>
        </w:p>
        <w:p>
          <w:pPr>
            <w:pStyle w:val="Tabledesmatiresniveau3"/>
            <w:tabs>
              <w:tab w:val="right" w:pos="9356" w:leader="dot"/>
            </w:tabs>
            <w:rPr/>
          </w:pPr>
          <w:hyperlink w:anchor="__RefHeading___Toc2154_1822059409">
            <w:r>
              <w:rPr>
                <w:webHidden/>
                <w:rStyle w:val="Sautdindex"/>
              </w:rPr>
              <w:t>6 - Réhabilitation Friches (urbaines et sites pollués)</w:t>
              <w:tab/>
              <w:t>9</w:t>
            </w:r>
          </w:hyperlink>
        </w:p>
        <w:p>
          <w:pPr>
            <w:pStyle w:val="Tabledesmatiresniveau3"/>
            <w:tabs>
              <w:tab w:val="right" w:pos="9356" w:leader="dot"/>
            </w:tabs>
            <w:rPr/>
          </w:pPr>
          <w:hyperlink w:anchor="__RefHeading___Toc2156_1822059409">
            <w:r>
              <w:rPr>
                <w:webHidden/>
                <w:rStyle w:val="Sautdindex"/>
              </w:rPr>
              <w:t>7 - Rénovation bâtiments Etat</w:t>
              <w:tab/>
              <w:t>10</w:t>
            </w:r>
          </w:hyperlink>
        </w:p>
        <w:p>
          <w:pPr>
            <w:pStyle w:val="Tabledesmatiresniveau2"/>
            <w:tabs>
              <w:tab w:val="right" w:pos="9356" w:leader="dot"/>
            </w:tabs>
            <w:rPr/>
          </w:pPr>
          <w:hyperlink w:anchor="__RefHeading___Toc2158_1822059409">
            <w:r>
              <w:rPr>
                <w:webHidden/>
                <w:rStyle w:val="Sautdindex"/>
              </w:rPr>
              <w:t>Volet 2 : Compétitivité</w:t>
              <w:tab/>
              <w:t>11</w:t>
            </w:r>
          </w:hyperlink>
        </w:p>
        <w:p>
          <w:pPr>
            <w:pStyle w:val="Tabledesmatiresniveau3"/>
            <w:tabs>
              <w:tab w:val="right" w:pos="9356" w:leader="dot"/>
            </w:tabs>
            <w:rPr/>
          </w:pPr>
          <w:hyperlink w:anchor="__RefHeading___Toc2160_1822059409">
            <w:r>
              <w:rPr>
                <w:webHidden/>
                <w:rStyle w:val="Sautdindex"/>
              </w:rPr>
              <w:t>8 - AAP Industrie : Soutien aux projets industriels territoires</w:t>
              <w:tab/>
              <w:t>12</w:t>
            </w:r>
          </w:hyperlink>
        </w:p>
        <w:p>
          <w:pPr>
            <w:pStyle w:val="Tabledesmatiresniveau3"/>
            <w:tabs>
              <w:tab w:val="right" w:pos="9356" w:leader="dot"/>
            </w:tabs>
            <w:rPr/>
          </w:pPr>
          <w:hyperlink w:anchor="__RefHeading___Toc2162_1822059409">
            <w:r>
              <w:rPr>
                <w:webHidden/>
                <w:rStyle w:val="Sautdindex"/>
              </w:rPr>
              <w:t>9 - AAP Industrie : Sécurisation approvisionnements critiques</w:t>
              <w:tab/>
              <w:t>13</w:t>
            </w:r>
          </w:hyperlink>
        </w:p>
        <w:p>
          <w:pPr>
            <w:pStyle w:val="Tabledesmatiresniveau3"/>
            <w:tabs>
              <w:tab w:val="right" w:pos="9356" w:leader="dot"/>
            </w:tabs>
            <w:rPr/>
          </w:pPr>
          <w:hyperlink w:anchor="__RefHeading___Toc2164_1822059409">
            <w:r>
              <w:rPr>
                <w:webHidden/>
                <w:rStyle w:val="Sautdindex"/>
              </w:rPr>
              <w:t>10 - France Num : aide à la numérisation des TPE,PME,ETI</w:t>
              <w:tab/>
              <w:t>14</w:t>
            </w:r>
          </w:hyperlink>
        </w:p>
        <w:p>
          <w:pPr>
            <w:pStyle w:val="Tabledesmatiresniveau3"/>
            <w:tabs>
              <w:tab w:val="right" w:pos="9356" w:leader="dot"/>
            </w:tabs>
            <w:rPr/>
          </w:pPr>
          <w:hyperlink w:anchor="__RefHeading___Toc2166_1822059409">
            <w:r>
              <w:rPr>
                <w:webHidden/>
                <w:rStyle w:val="Sautdindex"/>
              </w:rPr>
              <w:t>11 - Industrie du futur</w:t>
              <w:tab/>
              <w:t>15</w:t>
            </w:r>
          </w:hyperlink>
        </w:p>
        <w:p>
          <w:pPr>
            <w:pStyle w:val="Tabledesmatiresniveau3"/>
            <w:tabs>
              <w:tab w:val="right" w:pos="9356" w:leader="dot"/>
            </w:tabs>
            <w:rPr/>
          </w:pPr>
          <w:hyperlink w:anchor="__RefHeading___Toc2168_1822059409">
            <w:r>
              <w:rPr>
                <w:webHidden/>
                <w:rStyle w:val="Sautdindex"/>
              </w:rPr>
              <w:t>12 - Renforcement subventions Business France</w:t>
              <w:tab/>
              <w:t>16</w:t>
            </w:r>
          </w:hyperlink>
        </w:p>
        <w:p>
          <w:pPr>
            <w:pStyle w:val="Tabledesmatiresniveau3"/>
            <w:tabs>
              <w:tab w:val="right" w:pos="9356" w:leader="dot"/>
            </w:tabs>
            <w:rPr/>
          </w:pPr>
          <w:hyperlink w:anchor="__RefHeading___Toc2170_1822059409">
            <w:r>
              <w:rPr>
                <w:webHidden/>
                <w:rStyle w:val="Sautdindex"/>
              </w:rPr>
              <w:t>13 - Soutien aux filières culturelles (cinéma, audiovisuel, musique, numérique, livre)</w:t>
              <w:tab/>
              <w:t>17</w:t>
            </w:r>
          </w:hyperlink>
        </w:p>
        <w:p>
          <w:pPr>
            <w:pStyle w:val="Tabledesmatiresniveau2"/>
            <w:tabs>
              <w:tab w:val="right" w:pos="9356" w:leader="dot"/>
            </w:tabs>
            <w:rPr/>
          </w:pPr>
          <w:hyperlink w:anchor="__RefHeading___Toc2172_1822059409">
            <w:r>
              <w:rPr>
                <w:webHidden/>
                <w:rStyle w:val="Sautdindex"/>
              </w:rPr>
              <w:t>Volet 3 : Cohésion</w:t>
              <w:tab/>
              <w:t>18</w:t>
            </w:r>
          </w:hyperlink>
        </w:p>
        <w:p>
          <w:pPr>
            <w:pStyle w:val="Tabledesmatiresniveau3"/>
            <w:tabs>
              <w:tab w:val="right" w:pos="9356" w:leader="dot"/>
            </w:tabs>
            <w:rPr/>
          </w:pPr>
          <w:hyperlink w:anchor="__RefHeading___Toc2174_1822059409">
            <w:r>
              <w:rPr>
                <w:webHidden/>
                <w:rStyle w:val="Sautdindex"/>
              </w:rPr>
              <w:t>14 - Apprentissage</w:t>
              <w:tab/>
              <w:t>19</w:t>
            </w:r>
          </w:hyperlink>
        </w:p>
        <w:p>
          <w:pPr>
            <w:pStyle w:val="Tabledesmatiresniveau3"/>
            <w:tabs>
              <w:tab w:val="right" w:pos="9356" w:leader="dot"/>
            </w:tabs>
            <w:rPr/>
          </w:pPr>
          <w:hyperlink w:anchor="__RefHeading___Toc2176_1822059409">
            <w:r>
              <w:rPr>
                <w:webHidden/>
                <w:rStyle w:val="Sautdindex"/>
              </w:rPr>
              <w:t>15 - Contrats Initiatives Emploi (CIE) Jeunes</w:t>
              <w:tab/>
              <w:t>20</w:t>
            </w:r>
          </w:hyperlink>
        </w:p>
        <w:p>
          <w:pPr>
            <w:pStyle w:val="Tabledesmatiresniveau3"/>
            <w:tabs>
              <w:tab w:val="right" w:pos="9356" w:leader="dot"/>
            </w:tabs>
            <w:rPr/>
          </w:pPr>
          <w:hyperlink w:anchor="__RefHeading___Toc2178_1822059409">
            <w:r>
              <w:rPr>
                <w:webHidden/>
                <w:rStyle w:val="Sautdindex"/>
              </w:rPr>
              <w:t>16 - Contrats de professionnalisation</w:t>
              <w:tab/>
              <w:t>21</w:t>
            </w:r>
          </w:hyperlink>
        </w:p>
        <w:p>
          <w:pPr>
            <w:pStyle w:val="Tabledesmatiresniveau3"/>
            <w:tabs>
              <w:tab w:val="right" w:pos="9356" w:leader="dot"/>
            </w:tabs>
            <w:rPr/>
          </w:pPr>
          <w:hyperlink w:anchor="__RefHeading___Toc2180_1822059409">
            <w:r>
              <w:rPr>
                <w:webHidden/>
                <w:rStyle w:val="Sautdindex"/>
              </w:rPr>
              <w:t>17 - Garantie jeunes</w:t>
              <w:tab/>
              <w:t>22</w:t>
            </w:r>
          </w:hyperlink>
        </w:p>
        <w:p>
          <w:pPr>
            <w:pStyle w:val="Tabledesmatiresniveau3"/>
            <w:tabs>
              <w:tab w:val="right" w:pos="9356" w:leader="dot"/>
            </w:tabs>
            <w:rPr/>
          </w:pPr>
          <w:hyperlink w:anchor="__RefHeading___Toc2182_1822059409">
            <w:r>
              <w:rPr>
                <w:webHidden/>
                <w:rStyle w:val="Sautdindex"/>
              </w:rPr>
              <w:t>18 - Parcours emploi compétences (PEC) Jeunes</w:t>
              <w:tab/>
              <w:t>23</w:t>
            </w:r>
          </w:hyperlink>
        </w:p>
        <w:p>
          <w:pPr>
            <w:pStyle w:val="Tabledesmatiresniveau3"/>
            <w:tabs>
              <w:tab w:val="right" w:pos="9356" w:leader="dot"/>
            </w:tabs>
            <w:rPr/>
          </w:pPr>
          <w:hyperlink w:anchor="__RefHeading___Toc2184_1822059409">
            <w:r>
              <w:rPr>
                <w:webHidden/>
                <w:rStyle w:val="Sautdindex"/>
              </w:rPr>
              <w:t>19 - Prime à l'embauche des jeunes</w:t>
              <w:tab/>
              <w:t>24</w:t>
            </w:r>
          </w:hyperlink>
        </w:p>
        <w:p>
          <w:pPr>
            <w:pStyle w:val="Tabledesmatiresniveau3"/>
            <w:tabs>
              <w:tab w:val="right" w:pos="9356" w:leader="dot"/>
            </w:tabs>
            <w:rPr/>
          </w:pPr>
          <w:hyperlink w:anchor="__RefHeading___Toc2186_1822059409">
            <w:r>
              <w:rPr>
                <w:webHidden/>
                <w:rStyle w:val="Sautdindex"/>
              </w:rPr>
              <w:t>20 - Prime à l'embauche pour les travailleurs handicapés</w:t>
              <w:tab/>
              <w:t>25</w:t>
            </w:r>
          </w:hyperlink>
        </w:p>
        <w:p>
          <w:pPr>
            <w:pStyle w:val="Tabledesmatiresniveau3"/>
            <w:tabs>
              <w:tab w:val="right" w:pos="9356" w:leader="dot"/>
            </w:tabs>
            <w:rPr/>
          </w:pPr>
          <w:hyperlink w:anchor="__RefHeading___Toc2188_1822059409">
            <w:r>
              <w:rPr>
                <w:webHidden/>
                <w:rStyle w:val="Sautdindex"/>
              </w:rPr>
              <w:t>21 - Service civique</w:t>
              <w:tab/>
              <w:t>26</w:t>
            </w:r>
          </w:hyperlink>
        </w:p>
      </w:sdtContent>
    </w:sdt>
    <w:p>
      <w:pPr>
        <w:pStyle w:val="Customstyle2"/>
        <w:rPr/>
      </w:pPr>
      <w:r>
        <w:rPr/>
      </w:r>
      <w:r>
        <w:rPr/>
        <w:fldChar w:fldCharType="end"/>
      </w:r>
      <w:r>
        <w:br w:type="page"/>
      </w:r>
    </w:p>
    <w:p>
      <w:pPr>
        <w:pStyle w:val="Normal"/>
        <w:rPr>
          <w:rFonts w:ascii="Marianne" w:hAnsi="Marianne" w:cs="Arial"/>
          <w:sz w:val="56"/>
          <w:szCs w:val="56"/>
        </w:rPr>
      </w:pPr>
      <w:r>
        <w:rPr>
          <w:rFonts w:cs="Arial" w:ascii="Marianne" w:hAnsi="Marianne"/>
          <w:sz w:val="56"/>
          <w:szCs w:val="56"/>
        </w:rPr>
      </w:r>
    </w:p>
    <w:p>
      <w:pPr>
        <w:pStyle w:val="Titre2"/>
        <w:numPr>
          <w:ilvl w:val="1"/>
          <w:numId w:val="2"/>
        </w:numPr>
        <w:rPr>
          <w:sz w:val="44"/>
          <w:szCs w:val="44"/>
        </w:rPr>
      </w:pPr>
      <w:bookmarkStart w:id="0" w:name="__RefHeading___Toc2142_1822059409"/>
      <w:bookmarkEnd w:id="0"/>
      <w:r>
        <w:rPr>
          <w:rFonts w:ascii="Marianne" w:hAnsi="Marianne"/>
          <w:sz w:val="48"/>
          <w:szCs w:val="48"/>
        </w:rPr>
        <w:t>Volet 1 : Ecologie</w:t>
      </w:r>
    </w:p>
    <w:tbl>
      <w:tblPr>
        <w:tblW w:w="90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Pr>
      <w:tblGrid>
        <w:gridCol w:w="9072"/>
      </w:tblGrid>
      <w:tr>
        <w:trPr>
          <w:trHeight w:val="8055" w:hRule="atLeast"/>
        </w:trPr>
        <w:tc>
          <w:tcPr>
            <w:tcW w:w="90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cadre"/>
              <w:overflowPunct w:val="true"/>
              <w:spacing w:lineRule="auto" w:line="240" w:before="0" w:after="0"/>
              <w:jc w:val="left"/>
              <w:rPr>
                <w:rFonts w:ascii="Marianne" w:hAnsi="Marianne"/>
              </w:rPr>
            </w:pPr>
            <w:r>
              <w:rPr>
                <w:rFonts w:eastAsia="Calibri" w:cs="" w:ascii="Marianne" w:hAnsi="Marianne" w:cstheme="minorBidi" w:eastAsiaTheme="minorHAnsi"/>
                <w:b/>
                <w:bCs/>
                <w:color w:val="auto"/>
                <w:sz w:val="20"/>
                <w:szCs w:val="20"/>
              </w:rPr>
              <w:t xml:space="preserve"> </w:t>
            </w:r>
            <w:r>
              <w:rPr>
                <w:rFonts w:eastAsia="Calibri" w:cs="" w:ascii="Marianne" w:hAnsi="Marianne" w:cstheme="minorBidi" w:eastAsiaTheme="minorHAnsi"/>
                <w:b/>
                <w:bCs/>
                <w:color w:val="auto"/>
                <w:sz w:val="20"/>
                <w:szCs w:val="20"/>
              </w:rPr>
              <w:t>Commentaires généraux :</w:t>
            </w:r>
            <w:r>
              <w:rPr>
                <w:rFonts w:eastAsia="Calibri" w:cs="" w:ascii="Marianne" w:hAnsi="Marianne" w:cstheme="minorBidi" w:eastAsiaTheme="minorHAnsi"/>
                <w:b w:val="false"/>
                <w:bCs w:val="false"/>
                <w:color w:val="auto"/>
                <w:sz w:val="20"/>
                <w:szCs w:val="20"/>
              </w:rPr>
              <w:t xml:space="preserve"> </w:t>
            </w:r>
          </w:p>
          <w:p>
            <w:pPr>
              <w:pStyle w:val="Contenudecadre"/>
              <w:overflowPunct w:val="true"/>
              <w:spacing w:lineRule="auto" w:line="240" w:before="0" w:after="0"/>
              <w:jc w:val="left"/>
              <w:rPr>
                <w:rFonts w:ascii="Marianne" w:hAnsi="Marianne"/>
              </w:rPr>
            </w:pPr>
            <w:r>
              <w:rPr>
                <w:rFonts w:eastAsia="Calibri" w:cs="" w:ascii="Marianne" w:hAnsi="Marianne" w:cstheme="minorBidi" w:eastAsiaTheme="minorHAnsi"/>
                <w:b w:val="false"/>
                <w:bCs w:val="false"/>
                <w:color w:val="auto"/>
                <w:sz w:val="20"/>
                <w:szCs w:val="20"/>
              </w:rPr>
              <w:t xml:space="preserve">Quelques chiffres représentatifs: </w:t>
              <w:br/>
              <w:t xml:space="preserve"> </w:t>
              <w:br/>
              <w:t xml:space="preserve">- Près de 11,8 M€ de crédits pour les Landes dans le cadre de la rénovation énergétique des bâtiments de l’État, des collectivités ainsi que des logements sociaux. </w:t>
              <w:br/>
              <w:t xml:space="preserve"> </w:t>
              <w:br/>
              <w:t xml:space="preserve">- Plus de 2 000 dossiers Ma PrimRénov’ pour une aide totale de 5,4 M €  (y compris  2020, partie plan France Relance) </w:t>
              <w:br/>
              <w:t xml:space="preserve"> </w:t>
              <w:br/>
              <w:t xml:space="preserve">- 2417  bonus écologiques et primes à la conversion versés </w:t>
              <w:br/>
              <w:t xml:space="preserve"> </w:t>
              <w:br/>
              <w:t xml:space="preserve">- Décarbonation de l’industrie : 2 lauréats du fonds chaleur de l’ADEME pour 2,8M€ de subvention </w:t>
              <w:br/>
              <w:t xml:space="preserve"> </w:t>
              <w:br/>
              <w:t xml:space="preserve">- Plan de soutien aux secteurs de l’aéronautique et de l’automobile : 6,3M€ de subvention pour 2 entreprises lauréatisées (une  troisième est pressentie)  </w:t>
            </w:r>
          </w:p>
        </w:tc>
      </w:tr>
    </w:tbl>
    <w:p>
      <w:pPr>
        <w:pStyle w:val="Customstyle2"/>
        <w:rPr/>
      </w:pPr>
      <w:r>
        <w:rPr/>
      </w:r>
      <w:r>
        <w:br w:type="page"/>
      </w:r>
    </w:p>
    <w:p>
      <w:pPr>
        <w:pStyle w:val="Titre3"/>
        <w:numPr>
          <w:ilvl w:val="2"/>
          <w:numId w:val="3"/>
        </w:numPr>
        <w:spacing w:lineRule="auto" w:line="240" w:before="140" w:after="120"/>
        <w:jc w:val="center"/>
        <w:rPr>
          <w:rFonts w:ascii="Marianne" w:hAnsi="Marianne"/>
          <w:sz w:val="24"/>
          <w:szCs w:val="24"/>
        </w:rPr>
      </w:pPr>
      <w:bookmarkStart w:id="1" w:name="__RefHeading___Toc2144_1822059409"/>
      <w:bookmarkEnd w:id="1"/>
      <w:r>
        <w:rPr>
          <w:rFonts w:cs="Marianne" w:ascii="Marianne" w:hAnsi="Marianne"/>
          <w:color w:val="00A65D"/>
          <w:sz w:val="40"/>
          <w:szCs w:val="40"/>
        </w:rPr>
        <w:t xml:space="preserve">1 - </w:t>
      </w:r>
      <w:hyperlink r:id="rId3" w:tgtFrame="_blank">
        <w:r>
          <w:rPr>
            <w:rStyle w:val="ListLabel11"/>
            <w:rFonts w:cs="Marianne" w:ascii="Marianne" w:hAnsi="Marianne"/>
            <w:color w:val="00A65D"/>
            <w:sz w:val="40"/>
            <w:szCs w:val="40"/>
            <w:u w:val="single"/>
          </w:rPr>
          <w:t>Bonus écologique</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Landes</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bonus octroyés à des véhicules électriques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1 047 (7%)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948 (7%)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804 (7%)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2" w:name="__DdeLink__225_3614400758"/>
            <w:r>
              <w:rPr>
                <w:rFonts w:ascii="Marianne" w:hAnsi="Marianne"/>
                <w:b/>
                <w:bCs/>
                <w:sz w:val="20"/>
                <w:szCs w:val="20"/>
              </w:rPr>
              <w:t>: Nouvelle-Aquitaine</w:t>
            </w:r>
            <w:bookmarkEnd w:id="2"/>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bonus octroyés à des véhicules électriques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15 336 (9%)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13 546 (9%)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11 609 (9%)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bonus octroyés à des véhicules électriques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174 963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155 933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135 576  </w:t>
            </w:r>
          </w:p>
        </w:tc>
      </w:tr>
    </w:tbl>
    <w:p>
      <w:pPr>
        <w:pStyle w:val="Customstyle2"/>
        <w:rPr/>
      </w:pPr>
      <w:r>
        <w:rPr/>
      </w:r>
      <w:r>
        <w:br w:type="page"/>
      </w:r>
    </w:p>
    <w:p>
      <w:pPr>
        <w:pStyle w:val="Titre3"/>
        <w:numPr>
          <w:ilvl w:val="2"/>
          <w:numId w:val="4"/>
        </w:numPr>
        <w:spacing w:lineRule="auto" w:line="240" w:before="140" w:after="120"/>
        <w:jc w:val="center"/>
        <w:rPr>
          <w:rFonts w:ascii="Marianne" w:hAnsi="Marianne"/>
          <w:sz w:val="24"/>
          <w:szCs w:val="24"/>
        </w:rPr>
      </w:pPr>
      <w:bookmarkStart w:id="3" w:name="__RefHeading___Toc2146_1822059409"/>
      <w:bookmarkEnd w:id="3"/>
      <w:r>
        <w:rPr>
          <w:rFonts w:cs="Marianne" w:ascii="Marianne" w:hAnsi="Marianne"/>
          <w:color w:val="00A65D"/>
          <w:sz w:val="40"/>
          <w:szCs w:val="40"/>
        </w:rPr>
        <w:t xml:space="preserve">2 - </w:t>
      </w:r>
      <w:hyperlink r:id="rId4" w:tgtFrame="_blank">
        <w:r>
          <w:rPr>
            <w:rStyle w:val="ListLabel11"/>
            <w:rFonts w:cs="Marianne" w:ascii="Marianne" w:hAnsi="Marianne"/>
            <w:color w:val="00A65D"/>
            <w:sz w:val="40"/>
            <w:szCs w:val="40"/>
            <w:u w:val="single"/>
          </w:rPr>
          <w:t>MaPrimeRénov'</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2600"/>
        <w:gridCol w:w="4432"/>
        <w:gridCol w:w="2385"/>
      </w:tblGrid>
      <w:tr>
        <w:trPr>
          <w:trHeight w:val="400" w:hRule="atLeast"/>
        </w:trPr>
        <w:tc>
          <w:tcPr>
            <w:tcW w:w="9417" w:type="dxa"/>
            <w:gridSpan w:val="3"/>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Landes</w:t>
            </w:r>
          </w:p>
        </w:tc>
      </w:tr>
      <w:tr>
        <w:trPr>
          <w:trHeight w:val="395" w:hRule="atLeast"/>
        </w:trPr>
        <w:tc>
          <w:tcPr>
            <w:tcW w:w="2600"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443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dossiers MaPrimeRénov validés</w:t>
            </w:r>
          </w:p>
        </w:tc>
        <w:tc>
          <w:tcPr>
            <w:tcW w:w="2385"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Montant total des travaux associés aux dossiers validés</w:t>
            </w:r>
          </w:p>
        </w:tc>
      </w:tr>
      <w:tr>
        <w:trPr>
          <w:trHeight w:val="545" w:hRule="atLeast"/>
        </w:trPr>
        <w:tc>
          <w:tcPr>
            <w:tcW w:w="2600"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4432"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1 956 (8%)  </w:t>
            </w:r>
          </w:p>
        </w:tc>
        <w:tc>
          <w:tcPr>
            <w:tcW w:w="2385"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27.0 M€ (7%)  </w:t>
            </w:r>
          </w:p>
        </w:tc>
      </w:tr>
      <w:tr>
        <w:trPr>
          <w:trHeight w:val="545" w:hRule="atLeast"/>
        </w:trPr>
        <w:tc>
          <w:tcPr>
            <w:tcW w:w="2600"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4432"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1 547 (8%)  </w:t>
            </w:r>
          </w:p>
        </w:tc>
        <w:tc>
          <w:tcPr>
            <w:tcW w:w="2385"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23.2 M€ (7%)  </w:t>
            </w:r>
          </w:p>
        </w:tc>
      </w:tr>
      <w:tr>
        <w:trPr>
          <w:trHeight w:val="545" w:hRule="atLeast"/>
        </w:trPr>
        <w:tc>
          <w:tcPr>
            <w:tcW w:w="2600"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4432"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1 059 (8%)  </w:t>
            </w:r>
          </w:p>
        </w:tc>
        <w:tc>
          <w:tcPr>
            <w:tcW w:w="2385"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19.2 M€ (7%)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2600"/>
        <w:gridCol w:w="4442"/>
        <w:gridCol w:w="2375"/>
      </w:tblGrid>
      <w:tr>
        <w:trPr>
          <w:trHeight w:val="400" w:hRule="atLeast"/>
        </w:trPr>
        <w:tc>
          <w:tcPr>
            <w:tcW w:w="9417" w:type="dxa"/>
            <w:gridSpan w:val="3"/>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4" w:name="__DdeLink__225_36144007581"/>
            <w:r>
              <w:rPr>
                <w:rFonts w:ascii="Marianne" w:hAnsi="Marianne"/>
                <w:b/>
                <w:bCs/>
                <w:sz w:val="20"/>
                <w:szCs w:val="20"/>
              </w:rPr>
              <w:t>: Nouvelle-Aquitaine</w:t>
            </w:r>
            <w:bookmarkEnd w:id="4"/>
          </w:p>
        </w:tc>
      </w:tr>
      <w:tr>
        <w:trPr>
          <w:trHeight w:val="450" w:hRule="atLeast"/>
        </w:trPr>
        <w:tc>
          <w:tcPr>
            <w:tcW w:w="2600"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444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dossiers MaPrimeRénov validés</w:t>
            </w:r>
          </w:p>
        </w:tc>
        <w:tc>
          <w:tcPr>
            <w:tcW w:w="2375"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Montant total des travaux associés aux dossiers validés</w:t>
            </w:r>
          </w:p>
        </w:tc>
      </w:tr>
      <w:tr>
        <w:trPr>
          <w:trHeight w:val="545" w:hRule="atLeast"/>
        </w:trPr>
        <w:tc>
          <w:tcPr>
            <w:tcW w:w="2600"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444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24 503 (11%)  </w:t>
            </w:r>
          </w:p>
        </w:tc>
        <w:tc>
          <w:tcPr>
            <w:tcW w:w="2375"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396.4 M€ (10%)  </w:t>
            </w:r>
          </w:p>
        </w:tc>
      </w:tr>
      <w:tr>
        <w:trPr>
          <w:trHeight w:val="545" w:hRule="atLeast"/>
        </w:trPr>
        <w:tc>
          <w:tcPr>
            <w:tcW w:w="2600"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444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19 051 (11%)  </w:t>
            </w:r>
          </w:p>
        </w:tc>
        <w:tc>
          <w:tcPr>
            <w:tcW w:w="2375"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340.8 M€ (10%)  </w:t>
            </w:r>
          </w:p>
        </w:tc>
      </w:tr>
      <w:tr>
        <w:trPr>
          <w:trHeight w:val="545" w:hRule="atLeast"/>
        </w:trPr>
        <w:tc>
          <w:tcPr>
            <w:tcW w:w="2600"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444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12 958 (11%)  </w:t>
            </w:r>
          </w:p>
        </w:tc>
        <w:tc>
          <w:tcPr>
            <w:tcW w:w="2375"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271.3 M€ (10%)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2595"/>
        <w:gridCol w:w="4446"/>
        <w:gridCol w:w="2375"/>
      </w:tblGrid>
      <w:tr>
        <w:trPr>
          <w:trHeight w:val="400" w:hRule="atLeast"/>
        </w:trPr>
        <w:tc>
          <w:tcPr>
            <w:tcW w:w="9416" w:type="dxa"/>
            <w:gridSpan w:val="3"/>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2595"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4446"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dossiers MaPrimeRénov validés</w:t>
            </w:r>
          </w:p>
        </w:tc>
        <w:tc>
          <w:tcPr>
            <w:tcW w:w="2375"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Montant total des travaux associés aux dossiers validés</w:t>
            </w:r>
          </w:p>
        </w:tc>
      </w:tr>
      <w:tr>
        <w:trPr>
          <w:trHeight w:val="617" w:hRule="atLeast"/>
        </w:trPr>
        <w:tc>
          <w:tcPr>
            <w:tcW w:w="2595"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444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226 749  </w:t>
            </w:r>
          </w:p>
        </w:tc>
        <w:tc>
          <w:tcPr>
            <w:tcW w:w="2375"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3844.0 M€  </w:t>
            </w:r>
          </w:p>
        </w:tc>
      </w:tr>
      <w:tr>
        <w:trPr>
          <w:trHeight w:val="617" w:hRule="atLeast"/>
        </w:trPr>
        <w:tc>
          <w:tcPr>
            <w:tcW w:w="2595"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444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173 481  </w:t>
            </w:r>
          </w:p>
        </w:tc>
        <w:tc>
          <w:tcPr>
            <w:tcW w:w="2375"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3254.2 M€  </w:t>
            </w:r>
          </w:p>
        </w:tc>
      </w:tr>
      <w:tr>
        <w:trPr>
          <w:trHeight w:val="617" w:hRule="atLeast"/>
        </w:trPr>
        <w:tc>
          <w:tcPr>
            <w:tcW w:w="2595"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444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116 718  </w:t>
            </w:r>
          </w:p>
        </w:tc>
        <w:tc>
          <w:tcPr>
            <w:tcW w:w="2375"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2695.0 M€  </w:t>
            </w:r>
          </w:p>
        </w:tc>
      </w:tr>
    </w:tbl>
    <w:p>
      <w:pPr>
        <w:pStyle w:val="Customstyle2"/>
        <w:rPr/>
      </w:pPr>
      <w:r>
        <w:rPr/>
      </w:r>
      <w:r>
        <w:br w:type="page"/>
      </w:r>
    </w:p>
    <w:p>
      <w:pPr>
        <w:pStyle w:val="Titre3"/>
        <w:numPr>
          <w:ilvl w:val="2"/>
          <w:numId w:val="5"/>
        </w:numPr>
        <w:spacing w:lineRule="auto" w:line="240" w:before="140" w:after="120"/>
        <w:jc w:val="center"/>
        <w:rPr>
          <w:rFonts w:ascii="Marianne" w:hAnsi="Marianne"/>
          <w:sz w:val="24"/>
          <w:szCs w:val="24"/>
        </w:rPr>
      </w:pPr>
      <w:bookmarkStart w:id="5" w:name="__RefHeading___Toc2148_1822059409"/>
      <w:bookmarkEnd w:id="5"/>
      <w:r>
        <w:rPr>
          <w:rFonts w:cs="Marianne" w:ascii="Marianne" w:hAnsi="Marianne"/>
          <w:color w:val="00A65D"/>
          <w:sz w:val="40"/>
          <w:szCs w:val="40"/>
        </w:rPr>
        <w:t xml:space="preserve">3 - </w:t>
      </w:r>
      <w:hyperlink r:id="rId5" w:tgtFrame="_blank">
        <w:r>
          <w:rPr>
            <w:rStyle w:val="ListLabel11"/>
            <w:rFonts w:cs="Marianne" w:ascii="Marianne" w:hAnsi="Marianne"/>
            <w:color w:val="00A65D"/>
            <w:sz w:val="40"/>
            <w:szCs w:val="40"/>
            <w:u w:val="single"/>
          </w:rPr>
          <w:t>Modernisation des filières automobiles et aéronautiques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Landes</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 (7%)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 (7%)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 (6%)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6" w:name="__DdeLink__225_36144007582"/>
            <w:r>
              <w:rPr>
                <w:rFonts w:ascii="Marianne" w:hAnsi="Marianne"/>
                <w:b/>
                <w:bCs/>
                <w:sz w:val="20"/>
                <w:szCs w:val="20"/>
              </w:rPr>
              <w:t>: Nouvelle-Aquitaine</w:t>
            </w:r>
            <w:bookmarkEnd w:id="6"/>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41 (6%)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41 (6%)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32 (6%)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641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641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531  </w:t>
            </w:r>
          </w:p>
        </w:tc>
      </w:tr>
    </w:tbl>
    <w:p>
      <w:pPr>
        <w:pStyle w:val="Customstyle2"/>
        <w:rPr/>
      </w:pPr>
      <w:r>
        <w:rPr/>
      </w:r>
      <w:r>
        <w:br w:type="page"/>
      </w:r>
    </w:p>
    <w:p>
      <w:pPr>
        <w:pStyle w:val="Titre3"/>
        <w:numPr>
          <w:ilvl w:val="2"/>
          <w:numId w:val="6"/>
        </w:numPr>
        <w:spacing w:lineRule="auto" w:line="240" w:before="140" w:after="120"/>
        <w:jc w:val="center"/>
        <w:rPr>
          <w:rFonts w:ascii="Marianne" w:hAnsi="Marianne"/>
          <w:sz w:val="24"/>
          <w:szCs w:val="24"/>
        </w:rPr>
      </w:pPr>
      <w:bookmarkStart w:id="7" w:name="__RefHeading___Toc2150_1822059409"/>
      <w:bookmarkEnd w:id="7"/>
      <w:r>
        <w:rPr>
          <w:rFonts w:cs="Marianne" w:ascii="Marianne" w:hAnsi="Marianne"/>
          <w:color w:val="00A65D"/>
          <w:sz w:val="40"/>
          <w:szCs w:val="40"/>
        </w:rPr>
        <w:t xml:space="preserve">4 - </w:t>
      </w:r>
      <w:hyperlink r:id="rId6" w:tgtFrame="_blank">
        <w:r>
          <w:rPr>
            <w:rStyle w:val="ListLabel11"/>
            <w:rFonts w:cs="Marianne" w:ascii="Marianne" w:hAnsi="Marianne"/>
            <w:color w:val="00A65D"/>
            <w:sz w:val="40"/>
            <w:szCs w:val="40"/>
            <w:u w:val="single"/>
          </w:rPr>
          <w:t>Prime à la conversion des agroéquipements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Landes</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bénéficiaires de la prime à la conversion des agroéquipements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119 (9%)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119 (9%)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8" w:name="__DdeLink__225_36144007583"/>
            <w:r>
              <w:rPr>
                <w:rFonts w:ascii="Marianne" w:hAnsi="Marianne"/>
                <w:b/>
                <w:bCs/>
                <w:sz w:val="20"/>
                <w:szCs w:val="20"/>
              </w:rPr>
              <w:t>: Nouvelle-Aquitaine</w:t>
            </w:r>
            <w:bookmarkEnd w:id="8"/>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bénéficiaires de la prime à la conversion des agroéquipements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1 302 (16%)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1 302 (16%)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0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bénéficiaires de la prime à la conversion des agroéquipements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8 277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8 277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bl>
    <w:p>
      <w:pPr>
        <w:pStyle w:val="Customstyle2"/>
        <w:rPr/>
      </w:pPr>
      <w:r>
        <w:rPr/>
      </w:r>
      <w:r>
        <w:br w:type="page"/>
      </w:r>
    </w:p>
    <w:p>
      <w:pPr>
        <w:pStyle w:val="Titre3"/>
        <w:numPr>
          <w:ilvl w:val="2"/>
          <w:numId w:val="7"/>
        </w:numPr>
        <w:spacing w:lineRule="auto" w:line="240" w:before="140" w:after="120"/>
        <w:jc w:val="center"/>
        <w:rPr>
          <w:rFonts w:ascii="Marianne" w:hAnsi="Marianne"/>
          <w:sz w:val="24"/>
          <w:szCs w:val="24"/>
        </w:rPr>
      </w:pPr>
      <w:bookmarkStart w:id="9" w:name="__RefHeading___Toc2152_1822059409"/>
      <w:bookmarkEnd w:id="9"/>
      <w:r>
        <w:rPr>
          <w:rFonts w:cs="Marianne" w:ascii="Marianne" w:hAnsi="Marianne"/>
          <w:color w:val="00A65D"/>
          <w:sz w:val="40"/>
          <w:szCs w:val="40"/>
        </w:rPr>
        <w:t xml:space="preserve">5 - </w:t>
      </w:r>
      <w:hyperlink r:id="rId7" w:tgtFrame="_blank">
        <w:r>
          <w:rPr>
            <w:rStyle w:val="ListLabel11"/>
            <w:rFonts w:cs="Marianne" w:ascii="Marianne" w:hAnsi="Marianne"/>
            <w:color w:val="00A65D"/>
            <w:sz w:val="40"/>
            <w:szCs w:val="40"/>
            <w:u w:val="single"/>
          </w:rPr>
          <w:t>Prime à la conversion des véhicules légers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Landes</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primes à la conversion</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1 806 (9%)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1 715 (9%)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1 613 (9%)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10" w:name="__DdeLink__225_36144007584"/>
            <w:r>
              <w:rPr>
                <w:rFonts w:ascii="Marianne" w:hAnsi="Marianne"/>
                <w:b/>
                <w:bCs/>
                <w:sz w:val="20"/>
                <w:szCs w:val="20"/>
              </w:rPr>
              <w:t>: Nouvelle-Aquitaine</w:t>
            </w:r>
            <w:bookmarkEnd w:id="10"/>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primes à la conversion</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20 443 (11%)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19 475 (11%)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18 349 (11%)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primes à la conversion</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188 317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179 763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170 873  </w:t>
            </w:r>
          </w:p>
        </w:tc>
      </w:tr>
    </w:tbl>
    <w:p>
      <w:pPr>
        <w:pStyle w:val="Customstyle2"/>
        <w:rPr/>
      </w:pPr>
      <w:r>
        <w:rPr/>
      </w:r>
      <w:r>
        <w:br w:type="page"/>
      </w:r>
    </w:p>
    <w:p>
      <w:pPr>
        <w:pStyle w:val="Titre3"/>
        <w:numPr>
          <w:ilvl w:val="2"/>
          <w:numId w:val="8"/>
        </w:numPr>
        <w:spacing w:lineRule="auto" w:line="240" w:before="140" w:after="120"/>
        <w:jc w:val="center"/>
        <w:rPr>
          <w:rFonts w:ascii="Marianne" w:hAnsi="Marianne"/>
          <w:sz w:val="24"/>
          <w:szCs w:val="24"/>
        </w:rPr>
      </w:pPr>
      <w:bookmarkStart w:id="11" w:name="__RefHeading___Toc2154_1822059409"/>
      <w:bookmarkEnd w:id="11"/>
      <w:r>
        <w:rPr>
          <w:rFonts w:cs="Marianne" w:ascii="Marianne" w:hAnsi="Marianne"/>
          <w:color w:val="00A65D"/>
          <w:sz w:val="40"/>
          <w:szCs w:val="40"/>
        </w:rPr>
        <w:t xml:space="preserve">6 - </w:t>
      </w:r>
      <w:hyperlink r:id="rId8" w:tgtFrame="_blank">
        <w:r>
          <w:rPr>
            <w:rStyle w:val="ListLabel11"/>
            <w:rFonts w:cs="Marianne" w:ascii="Marianne" w:hAnsi="Marianne"/>
            <w:color w:val="00A65D"/>
            <w:sz w:val="40"/>
            <w:szCs w:val="40"/>
            <w:u w:val="single"/>
          </w:rPr>
          <w:t>Réhabilitation Friches (urbaines et sites pollués)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Landes</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sites concernés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12" w:name="__DdeLink__225_36144007585"/>
            <w:r>
              <w:rPr>
                <w:rFonts w:ascii="Marianne" w:hAnsi="Marianne"/>
                <w:b/>
                <w:bCs/>
                <w:sz w:val="20"/>
                <w:szCs w:val="20"/>
              </w:rPr>
              <w:t>: Nouvelle-Aquitaine</w:t>
            </w:r>
            <w:bookmarkEnd w:id="12"/>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sites concernés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5 (56%)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0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0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sites concernés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9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bl>
    <w:p>
      <w:pPr>
        <w:pStyle w:val="Customstyle2"/>
        <w:rPr/>
      </w:pPr>
      <w:r>
        <w:rPr/>
      </w:r>
      <w:r>
        <w:br w:type="page"/>
      </w:r>
    </w:p>
    <w:p>
      <w:pPr>
        <w:pStyle w:val="Titre3"/>
        <w:numPr>
          <w:ilvl w:val="2"/>
          <w:numId w:val="9"/>
        </w:numPr>
        <w:spacing w:lineRule="auto" w:line="240" w:before="140" w:after="120"/>
        <w:jc w:val="center"/>
        <w:rPr>
          <w:rFonts w:ascii="Marianne" w:hAnsi="Marianne"/>
          <w:sz w:val="24"/>
          <w:szCs w:val="24"/>
        </w:rPr>
      </w:pPr>
      <w:bookmarkStart w:id="13" w:name="__RefHeading___Toc2156_1822059409"/>
      <w:bookmarkEnd w:id="13"/>
      <w:r>
        <w:rPr>
          <w:rFonts w:cs="Marianne" w:ascii="Marianne" w:hAnsi="Marianne"/>
          <w:color w:val="00A65D"/>
          <w:sz w:val="40"/>
          <w:szCs w:val="40"/>
        </w:rPr>
        <w:t xml:space="preserve">7 - </w:t>
      </w:r>
      <w:hyperlink r:id="rId9" w:tgtFrame="_blank">
        <w:r>
          <w:rPr>
            <w:rStyle w:val="ListLabel11"/>
            <w:rFonts w:cs="Marianne" w:ascii="Marianne" w:hAnsi="Marianne"/>
            <w:color w:val="00A65D"/>
            <w:sz w:val="40"/>
            <w:szCs w:val="40"/>
            <w:u w:val="single"/>
          </w:rPr>
          <w:t>Rénovation bâtiments Etat</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Landes</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bâtiments dont le marché de rénovation est notifié</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 (3%)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(0%)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(0%)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14" w:name="__DdeLink__225_36144007586"/>
            <w:r>
              <w:rPr>
                <w:rFonts w:ascii="Marianne" w:hAnsi="Marianne"/>
                <w:b/>
                <w:bCs/>
                <w:sz w:val="20"/>
                <w:szCs w:val="20"/>
              </w:rPr>
              <w:t>: Nouvelle-Aquitaine</w:t>
            </w:r>
            <w:bookmarkEnd w:id="14"/>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bâtiments dont le marché de rénovation est notifié</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136 (10%)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81 (8%)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47 (8%)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bâtiments dont le marché de rénovation est notifié</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1 420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995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587  </w:t>
            </w:r>
          </w:p>
        </w:tc>
      </w:tr>
    </w:tbl>
    <w:p>
      <w:pPr>
        <w:pStyle w:val="Normal"/>
        <w:spacing w:before="0" w:after="160"/>
        <w:rPr>
          <w:rFonts w:ascii="Marianne" w:hAnsi="Marianne"/>
          <w:sz w:val="6"/>
          <w:szCs w:val="6"/>
        </w:rPr>
      </w:pPr>
      <w:r>
        <w:rPr>
          <w:rFonts w:ascii="Marianne" w:hAnsi="Marianne"/>
          <w:sz w:val="6"/>
          <w:szCs w:val="6"/>
        </w:rPr>
      </w:r>
    </w:p>
    <w:tbl>
      <w:tblPr>
        <w:tblW w:w="9417" w:type="dxa"/>
        <w:jc w:val="left"/>
        <w:tblInd w:w="-5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Pr>
      <w:tblGrid>
        <w:gridCol w:w="9417"/>
      </w:tblGrid>
      <w:tr>
        <w:trPr>
          <w:trHeight w:val="2433" w:hRule="atLeast"/>
        </w:trPr>
        <w:tc>
          <w:tcPr>
            <w:tcW w:w="9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spacing w:lineRule="auto" w:line="240"/>
              <w:rPr/>
            </w:pPr>
            <w:r>
              <w:rPr>
                <w:rFonts w:ascii="Marianne" w:hAnsi="Marianne"/>
                <w:b/>
                <w:bCs/>
                <w:sz w:val="20"/>
                <w:szCs w:val="20"/>
              </w:rPr>
              <w:t xml:space="preserve"> </w:t>
            </w:r>
            <w:r>
              <w:rPr>
                <w:rFonts w:ascii="Marianne" w:hAnsi="Marianne"/>
                <w:b/>
                <w:bCs/>
                <w:sz w:val="20"/>
                <w:szCs w:val="20"/>
              </w:rPr>
              <w:t>Exemples de lauréats :</w:t>
            </w:r>
          </w:p>
          <w:p>
            <w:pPr>
              <w:pStyle w:val="Contenudecadre"/>
              <w:overflowPunct w:val="false"/>
              <w:spacing w:lineRule="auto" w:line="240" w:before="0" w:after="0"/>
              <w:jc w:val="left"/>
              <w:rPr/>
            </w:pPr>
            <w:r>
              <w:rPr/>
            </w:r>
          </w:p>
        </w:tc>
      </w:tr>
    </w:tbl>
    <w:p>
      <w:pPr>
        <w:pStyle w:val="Customstyle2"/>
        <w:rPr/>
      </w:pPr>
      <w:r>
        <w:rPr/>
      </w:r>
      <w:r>
        <w:br w:type="page"/>
      </w:r>
    </w:p>
    <w:p>
      <w:pPr>
        <w:pStyle w:val="Normal"/>
        <w:rPr>
          <w:rFonts w:ascii="Marianne" w:hAnsi="Marianne" w:cs="Arial"/>
          <w:sz w:val="56"/>
          <w:szCs w:val="56"/>
        </w:rPr>
      </w:pPr>
      <w:r>
        <w:rPr>
          <w:rFonts w:cs="Arial" w:ascii="Marianne" w:hAnsi="Marianne"/>
          <w:sz w:val="56"/>
          <w:szCs w:val="56"/>
        </w:rPr>
      </w:r>
    </w:p>
    <w:p>
      <w:pPr>
        <w:pStyle w:val="Titre2"/>
        <w:numPr>
          <w:ilvl w:val="1"/>
          <w:numId w:val="10"/>
        </w:numPr>
        <w:rPr>
          <w:sz w:val="44"/>
          <w:szCs w:val="44"/>
        </w:rPr>
      </w:pPr>
      <w:bookmarkStart w:id="15" w:name="__RefHeading___Toc2158_1822059409"/>
      <w:bookmarkEnd w:id="15"/>
      <w:r>
        <w:rPr>
          <w:rFonts w:ascii="Marianne" w:hAnsi="Marianne"/>
          <w:sz w:val="48"/>
          <w:szCs w:val="48"/>
        </w:rPr>
        <w:t>Volet 2 : Compétitivité</w:t>
      </w:r>
    </w:p>
    <w:tbl>
      <w:tblPr>
        <w:tblW w:w="90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Pr>
      <w:tblGrid>
        <w:gridCol w:w="9072"/>
      </w:tblGrid>
      <w:tr>
        <w:trPr>
          <w:trHeight w:val="8055" w:hRule="atLeast"/>
        </w:trPr>
        <w:tc>
          <w:tcPr>
            <w:tcW w:w="90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cadre"/>
              <w:overflowPunct w:val="true"/>
              <w:spacing w:lineRule="auto" w:line="240" w:before="0" w:after="0"/>
              <w:jc w:val="left"/>
              <w:rPr>
                <w:rFonts w:ascii="Marianne" w:hAnsi="Marianne"/>
              </w:rPr>
            </w:pPr>
            <w:r>
              <w:rPr>
                <w:rFonts w:eastAsia="Calibri" w:cs="" w:ascii="Marianne" w:hAnsi="Marianne" w:cstheme="minorBidi" w:eastAsiaTheme="minorHAnsi"/>
                <w:b/>
                <w:bCs/>
                <w:color w:val="auto"/>
                <w:sz w:val="20"/>
                <w:szCs w:val="20"/>
              </w:rPr>
              <w:t xml:space="preserve"> </w:t>
            </w:r>
            <w:r>
              <w:rPr>
                <w:rFonts w:eastAsia="Calibri" w:cs="" w:ascii="Marianne" w:hAnsi="Marianne" w:cstheme="minorBidi" w:eastAsiaTheme="minorHAnsi"/>
                <w:b/>
                <w:bCs/>
                <w:color w:val="auto"/>
                <w:sz w:val="20"/>
                <w:szCs w:val="20"/>
              </w:rPr>
              <w:t>Commentaires généraux :</w:t>
            </w:r>
            <w:r>
              <w:rPr>
                <w:rFonts w:eastAsia="Calibri" w:cs="" w:ascii="Marianne" w:hAnsi="Marianne" w:cstheme="minorBidi" w:eastAsiaTheme="minorHAnsi"/>
                <w:b w:val="false"/>
                <w:bCs w:val="false"/>
                <w:color w:val="auto"/>
                <w:sz w:val="20"/>
                <w:szCs w:val="20"/>
              </w:rPr>
              <w:t xml:space="preserve"> </w:t>
            </w:r>
          </w:p>
          <w:p>
            <w:pPr>
              <w:pStyle w:val="Contenudecadre"/>
              <w:overflowPunct w:val="true"/>
              <w:spacing w:lineRule="auto" w:line="240" w:before="0" w:after="0"/>
              <w:jc w:val="left"/>
              <w:rPr>
                <w:rFonts w:ascii="Marianne" w:hAnsi="Marianne"/>
              </w:rPr>
            </w:pPr>
            <w:r>
              <w:rPr>
                <w:rFonts w:eastAsia="Calibri" w:cs="" w:ascii="Marianne" w:hAnsi="Marianne" w:cstheme="minorBidi" w:eastAsiaTheme="minorHAnsi"/>
                <w:b w:val="false"/>
                <w:bCs w:val="false"/>
                <w:color w:val="auto"/>
                <w:sz w:val="20"/>
                <w:szCs w:val="20"/>
              </w:rPr>
              <w:t xml:space="preserve">Quelques chiffres représentatifs </w:t>
              <w:br/>
              <w:t xml:space="preserve"> </w:t>
              <w:br/>
              <w:t xml:space="preserve">- Sécurisation des approvisionnements critiques : Près de 4 M€ de subventions pour 3 entreprises. </w:t>
              <w:br/>
              <w:t xml:space="preserve"> </w:t>
              <w:br/>
              <w:t xml:space="preserve">- soutien aux projets industriels dans les territoires : 3,6 M€ de subventions pour 5 entreprises  </w:t>
            </w:r>
          </w:p>
        </w:tc>
      </w:tr>
    </w:tbl>
    <w:p>
      <w:pPr>
        <w:pStyle w:val="Customstyle2"/>
        <w:rPr/>
      </w:pPr>
      <w:r>
        <w:rPr/>
      </w:r>
      <w:r>
        <w:br w:type="page"/>
      </w:r>
    </w:p>
    <w:p>
      <w:pPr>
        <w:pStyle w:val="Titre3"/>
        <w:numPr>
          <w:ilvl w:val="2"/>
          <w:numId w:val="11"/>
        </w:numPr>
        <w:spacing w:lineRule="auto" w:line="240" w:before="140" w:after="120"/>
        <w:jc w:val="center"/>
        <w:rPr>
          <w:rFonts w:ascii="Marianne" w:hAnsi="Marianne"/>
          <w:sz w:val="24"/>
          <w:szCs w:val="24"/>
        </w:rPr>
      </w:pPr>
      <w:bookmarkStart w:id="16" w:name="__RefHeading___Toc2160_1822059409"/>
      <w:bookmarkEnd w:id="16"/>
      <w:r>
        <w:rPr>
          <w:rFonts w:cs="Marianne" w:ascii="Marianne" w:hAnsi="Marianne"/>
          <w:color w:val="00A65D"/>
          <w:sz w:val="40"/>
          <w:szCs w:val="40"/>
        </w:rPr>
        <w:t xml:space="preserve">8 - </w:t>
      </w:r>
      <w:hyperlink r:id="rId10" w:tgtFrame="_blank">
        <w:r>
          <w:rPr>
            <w:rStyle w:val="ListLabel11"/>
            <w:rFonts w:cs="Marianne" w:ascii="Marianne" w:hAnsi="Marianne"/>
            <w:color w:val="00A65D"/>
            <w:sz w:val="40"/>
            <w:szCs w:val="40"/>
            <w:u w:val="single"/>
          </w:rPr>
          <w:t>AAP Industrie : Soutien aux projets industriels territoires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Landes</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TPE,PME,ETI bénéficiaires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6 (8%)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5 (8%)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5 (10%)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17" w:name="__DdeLink__225_36144007587"/>
            <w:r>
              <w:rPr>
                <w:rFonts w:ascii="Marianne" w:hAnsi="Marianne"/>
                <w:b/>
                <w:bCs/>
                <w:sz w:val="20"/>
                <w:szCs w:val="20"/>
              </w:rPr>
              <w:t>: Nouvelle-Aquitaine</w:t>
            </w:r>
            <w:bookmarkEnd w:id="17"/>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TPE,PME,ETI bénéficiaires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74 (9%)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62 (9%)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49 (8%)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TPE,PME,ETI bénéficiaires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863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727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625  </w:t>
            </w:r>
          </w:p>
        </w:tc>
      </w:tr>
    </w:tbl>
    <w:p>
      <w:pPr>
        <w:pStyle w:val="Normal"/>
        <w:spacing w:before="0" w:after="160"/>
        <w:rPr>
          <w:rFonts w:ascii="Marianne" w:hAnsi="Marianne"/>
          <w:sz w:val="6"/>
          <w:szCs w:val="6"/>
        </w:rPr>
      </w:pPr>
      <w:r>
        <w:rPr>
          <w:rFonts w:ascii="Marianne" w:hAnsi="Marianne"/>
          <w:sz w:val="6"/>
          <w:szCs w:val="6"/>
        </w:rPr>
      </w:r>
    </w:p>
    <w:tbl>
      <w:tblPr>
        <w:tblW w:w="9417" w:type="dxa"/>
        <w:jc w:val="left"/>
        <w:tblInd w:w="-5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Pr>
      <w:tblGrid>
        <w:gridCol w:w="9417"/>
      </w:tblGrid>
      <w:tr>
        <w:trPr>
          <w:trHeight w:val="2433" w:hRule="atLeast"/>
        </w:trPr>
        <w:tc>
          <w:tcPr>
            <w:tcW w:w="9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spacing w:lineRule="auto" w:line="240"/>
              <w:rPr/>
            </w:pPr>
            <w:r>
              <w:rPr>
                <w:rFonts w:ascii="Marianne" w:hAnsi="Marianne"/>
                <w:b/>
                <w:bCs/>
                <w:sz w:val="20"/>
                <w:szCs w:val="20"/>
              </w:rPr>
              <w:t xml:space="preserve"> </w:t>
            </w:r>
            <w:r>
              <w:rPr>
                <w:rFonts w:ascii="Marianne" w:hAnsi="Marianne"/>
                <w:b/>
                <w:bCs/>
                <w:sz w:val="20"/>
                <w:szCs w:val="20"/>
              </w:rPr>
              <w:t>Exemples de lauréats :</w:t>
            </w:r>
          </w:p>
          <w:p>
            <w:pPr>
              <w:pStyle w:val="Contenudecadre"/>
              <w:overflowPunct w:val="false"/>
              <w:spacing w:lineRule="auto" w:line="240" w:before="0" w:after="0"/>
              <w:jc w:val="left"/>
              <w:rPr/>
            </w:pPr>
            <w:r>
              <w:rPr>
                <w:rFonts w:eastAsia="Calibri" w:cs="" w:ascii="Marianne" w:hAnsi="Marianne" w:cstheme="minorBidi" w:eastAsiaTheme="minorHAnsi"/>
                <w:b w:val="false"/>
                <w:bCs w:val="false"/>
                <w:color w:val="auto"/>
                <w:sz w:val="20"/>
                <w:szCs w:val="20"/>
              </w:rPr>
              <w:t xml:space="preserve">5 lauréats  annoncés à ce jour pour un soutien de  3,6M€ au total </w:t>
              <w:br/>
              <w:t xml:space="preserve">- Thébault-Ply Land pour la modernisation de son outil de productions </w:t>
              <w:br/>
              <w:t xml:space="preserve">- Gascogne Sacs à Mimizan pour sa nouvelle ligne de fabrication de sacs </w:t>
              <w:br/>
              <w:t xml:space="preserve">- Lesbats à Saint-Perdon pour son projet de modernisation du process de sciage. L’aide de l’État participe au soutien de la filière de transformation du bois, segment d’activité économique caractéristique du département des Landes. </w:t>
              <w:br/>
              <w:t xml:space="preserve">- Matter’Up pour son projet de  modernisation de son site industriel à Saint-Geours-de-Maremne. </w:t>
              <w:br/>
              <w:t xml:space="preserve">- DRT à Vielle-Saint-Girons pour son projet Floral 2.0.  </w:t>
            </w:r>
          </w:p>
        </w:tc>
      </w:tr>
    </w:tbl>
    <w:p>
      <w:pPr>
        <w:pStyle w:val="Customstyle2"/>
        <w:rPr/>
      </w:pPr>
      <w:r>
        <w:rPr/>
      </w:r>
      <w:r>
        <w:br w:type="page"/>
      </w:r>
    </w:p>
    <w:p>
      <w:pPr>
        <w:pStyle w:val="Titre3"/>
        <w:numPr>
          <w:ilvl w:val="2"/>
          <w:numId w:val="12"/>
        </w:numPr>
        <w:spacing w:lineRule="auto" w:line="240" w:before="140" w:after="120"/>
        <w:jc w:val="center"/>
        <w:rPr>
          <w:rFonts w:ascii="Marianne" w:hAnsi="Marianne"/>
          <w:sz w:val="24"/>
          <w:szCs w:val="24"/>
        </w:rPr>
      </w:pPr>
      <w:bookmarkStart w:id="18" w:name="__RefHeading___Toc2162_1822059409"/>
      <w:bookmarkEnd w:id="18"/>
      <w:r>
        <w:rPr>
          <w:rFonts w:cs="Marianne" w:ascii="Marianne" w:hAnsi="Marianne"/>
          <w:color w:val="00A65D"/>
          <w:sz w:val="40"/>
          <w:szCs w:val="40"/>
        </w:rPr>
        <w:t xml:space="preserve">9 - </w:t>
      </w:r>
      <w:hyperlink r:id="rId11" w:tgtFrame="_blank">
        <w:r>
          <w:rPr>
            <w:rStyle w:val="ListLabel11"/>
            <w:rFonts w:cs="Marianne" w:ascii="Marianne" w:hAnsi="Marianne"/>
            <w:color w:val="00A65D"/>
            <w:sz w:val="40"/>
            <w:szCs w:val="40"/>
            <w:u w:val="single"/>
          </w:rPr>
          <w:t>AAP Industrie : Sécurisation approvisionnements critiques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Landes</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TPE,PME,ETI bénéficiaires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 (9%)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 (9%)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 (9%)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19" w:name="__DdeLink__225_36144007588"/>
            <w:r>
              <w:rPr>
                <w:rFonts w:ascii="Marianne" w:hAnsi="Marianne"/>
                <w:b/>
                <w:bCs/>
                <w:sz w:val="20"/>
                <w:szCs w:val="20"/>
              </w:rPr>
              <w:t>: Nouvelle-Aquitaine</w:t>
            </w:r>
            <w:bookmarkEnd w:id="19"/>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TPE,PME,ETI bénéficiaires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33 (11%)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33 (11%)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33 (12%)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TPE,PME,ETI bénéficiaires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309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309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281  </w:t>
            </w:r>
          </w:p>
        </w:tc>
      </w:tr>
    </w:tbl>
    <w:p>
      <w:pPr>
        <w:pStyle w:val="Normal"/>
        <w:spacing w:before="0" w:after="160"/>
        <w:rPr>
          <w:rFonts w:ascii="Marianne" w:hAnsi="Marianne"/>
          <w:sz w:val="6"/>
          <w:szCs w:val="6"/>
        </w:rPr>
      </w:pPr>
      <w:r>
        <w:rPr>
          <w:rFonts w:ascii="Marianne" w:hAnsi="Marianne"/>
          <w:sz w:val="6"/>
          <w:szCs w:val="6"/>
        </w:rPr>
      </w:r>
    </w:p>
    <w:tbl>
      <w:tblPr>
        <w:tblW w:w="9417" w:type="dxa"/>
        <w:jc w:val="left"/>
        <w:tblInd w:w="-5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Pr>
      <w:tblGrid>
        <w:gridCol w:w="9417"/>
      </w:tblGrid>
      <w:tr>
        <w:trPr>
          <w:trHeight w:val="2433" w:hRule="atLeast"/>
        </w:trPr>
        <w:tc>
          <w:tcPr>
            <w:tcW w:w="9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spacing w:lineRule="auto" w:line="240"/>
              <w:rPr/>
            </w:pPr>
            <w:r>
              <w:rPr>
                <w:rFonts w:ascii="Marianne" w:hAnsi="Marianne"/>
                <w:b/>
                <w:bCs/>
                <w:sz w:val="20"/>
                <w:szCs w:val="20"/>
              </w:rPr>
              <w:t xml:space="preserve"> </w:t>
            </w:r>
            <w:r>
              <w:rPr>
                <w:rFonts w:ascii="Marianne" w:hAnsi="Marianne"/>
                <w:b/>
                <w:bCs/>
                <w:sz w:val="20"/>
                <w:szCs w:val="20"/>
              </w:rPr>
              <w:t>Exemples de lauréats :</w:t>
            </w:r>
          </w:p>
          <w:p>
            <w:pPr>
              <w:pStyle w:val="Contenudecadre"/>
              <w:overflowPunct w:val="false"/>
              <w:spacing w:lineRule="auto" w:line="240" w:before="0" w:after="0"/>
              <w:jc w:val="left"/>
              <w:rPr/>
            </w:pPr>
            <w:r>
              <w:rPr>
                <w:rFonts w:eastAsia="Calibri" w:cs="" w:ascii="Marianne" w:hAnsi="Marianne" w:cstheme="minorBidi" w:eastAsiaTheme="minorHAnsi"/>
                <w:b w:val="false"/>
                <w:bCs w:val="false"/>
                <w:color w:val="auto"/>
                <w:sz w:val="20"/>
                <w:szCs w:val="20"/>
              </w:rPr>
              <w:t xml:space="preserve">La société Les Chanvres de l’atlantique à Soorts-Hossegor a été retenue pour son projet de production de chanvre biologique. </w:t>
              <w:br/>
              <w:t xml:space="preserve">L’entreprise les Graines d’alliance à Haut-Mauco a été retenue pour son projet de trituration de graines locales non-OGM. </w:t>
              <w:br/>
              <w:t xml:space="preserve">La start’up  Protifly à Saint-Maurice-sur-l’Adour a été retenue pour son projet de création d’une unité de production de protéines pour l’industrie agro-alimentaire.  </w:t>
            </w:r>
          </w:p>
        </w:tc>
      </w:tr>
    </w:tbl>
    <w:p>
      <w:pPr>
        <w:pStyle w:val="Customstyle2"/>
        <w:rPr/>
      </w:pPr>
      <w:r>
        <w:rPr/>
      </w:r>
      <w:r>
        <w:br w:type="page"/>
      </w:r>
    </w:p>
    <w:p>
      <w:pPr>
        <w:pStyle w:val="Titre3"/>
        <w:numPr>
          <w:ilvl w:val="2"/>
          <w:numId w:val="13"/>
        </w:numPr>
        <w:spacing w:lineRule="auto" w:line="240" w:before="140" w:after="120"/>
        <w:jc w:val="center"/>
        <w:rPr>
          <w:rFonts w:ascii="Marianne" w:hAnsi="Marianne"/>
          <w:sz w:val="24"/>
          <w:szCs w:val="24"/>
        </w:rPr>
      </w:pPr>
      <w:bookmarkStart w:id="20" w:name="__RefHeading___Toc2164_1822059409"/>
      <w:bookmarkEnd w:id="20"/>
      <w:r>
        <w:rPr>
          <w:rFonts w:cs="Marianne" w:ascii="Marianne" w:hAnsi="Marianne"/>
          <w:color w:val="00A65D"/>
          <w:sz w:val="40"/>
          <w:szCs w:val="40"/>
        </w:rPr>
        <w:t xml:space="preserve">10 - </w:t>
      </w:r>
      <w:hyperlink r:id="rId12" w:tgtFrame="_blank">
        <w:r>
          <w:rPr>
            <w:rStyle w:val="ListLabel11"/>
            <w:rFonts w:cs="Marianne" w:ascii="Marianne" w:hAnsi="Marianne"/>
            <w:color w:val="00A65D"/>
            <w:sz w:val="40"/>
            <w:szCs w:val="40"/>
            <w:u w:val="single"/>
          </w:rPr>
          <w:t>France Num : aide à la numérisation des TPE,PME,ETI</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Landes</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d'accompagnements dispensés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415 (8%)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303 (8%)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211 (8%)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21" w:name="__DdeLink__225_36144007589"/>
            <w:r>
              <w:rPr>
                <w:rFonts w:ascii="Marianne" w:hAnsi="Marianne"/>
                <w:b/>
                <w:bCs/>
                <w:sz w:val="20"/>
                <w:szCs w:val="20"/>
              </w:rPr>
              <w:t>: Nouvelle-Aquitaine</w:t>
            </w:r>
            <w:bookmarkEnd w:id="21"/>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d'accompagnements dispensés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5 183 (10%)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3 903 (10%)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2 786 (10%)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d'accompagnements dispensés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50 848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39 192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27 864  </w:t>
            </w:r>
          </w:p>
        </w:tc>
      </w:tr>
    </w:tbl>
    <w:p>
      <w:pPr>
        <w:pStyle w:val="Normal"/>
        <w:spacing w:before="0" w:after="160"/>
        <w:rPr>
          <w:rFonts w:ascii="Marianne" w:hAnsi="Marianne"/>
          <w:sz w:val="6"/>
          <w:szCs w:val="6"/>
        </w:rPr>
      </w:pPr>
      <w:r>
        <w:rPr>
          <w:rFonts w:ascii="Marianne" w:hAnsi="Marianne"/>
          <w:sz w:val="6"/>
          <w:szCs w:val="6"/>
        </w:rPr>
      </w:r>
    </w:p>
    <w:tbl>
      <w:tblPr>
        <w:tblW w:w="9417" w:type="dxa"/>
        <w:jc w:val="left"/>
        <w:tblInd w:w="-5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Pr>
      <w:tblGrid>
        <w:gridCol w:w="9417"/>
      </w:tblGrid>
      <w:tr>
        <w:trPr>
          <w:trHeight w:val="2433" w:hRule="atLeast"/>
        </w:trPr>
        <w:tc>
          <w:tcPr>
            <w:tcW w:w="9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spacing w:lineRule="auto" w:line="240"/>
              <w:rPr/>
            </w:pPr>
            <w:r>
              <w:rPr>
                <w:rFonts w:ascii="Marianne" w:hAnsi="Marianne"/>
                <w:b/>
                <w:bCs/>
                <w:sz w:val="20"/>
                <w:szCs w:val="20"/>
              </w:rPr>
              <w:t xml:space="preserve"> </w:t>
            </w:r>
            <w:r>
              <w:rPr>
                <w:rFonts w:ascii="Marianne" w:hAnsi="Marianne"/>
                <w:b/>
                <w:bCs/>
                <w:sz w:val="20"/>
                <w:szCs w:val="20"/>
              </w:rPr>
              <w:t>Exemples de lauréats :</w:t>
            </w:r>
          </w:p>
          <w:p>
            <w:pPr>
              <w:pStyle w:val="Contenudecadre"/>
              <w:overflowPunct w:val="false"/>
              <w:spacing w:lineRule="auto" w:line="240" w:before="0" w:after="0"/>
              <w:jc w:val="left"/>
              <w:rPr/>
            </w:pPr>
            <w:r>
              <w:rPr>
                <w:rFonts w:eastAsia="Calibri" w:cs="" w:ascii="Marianne" w:hAnsi="Marianne" w:cstheme="minorBidi" w:eastAsiaTheme="minorHAnsi"/>
                <w:b w:val="false"/>
                <w:bCs w:val="false"/>
                <w:color w:val="auto"/>
                <w:sz w:val="20"/>
                <w:szCs w:val="20"/>
              </w:rPr>
              <w:t xml:space="preserve">  </w:t>
            </w:r>
          </w:p>
        </w:tc>
      </w:tr>
    </w:tbl>
    <w:p>
      <w:pPr>
        <w:pStyle w:val="Customstyle2"/>
        <w:rPr/>
      </w:pPr>
      <w:r>
        <w:rPr/>
      </w:r>
      <w:r>
        <w:br w:type="page"/>
      </w:r>
    </w:p>
    <w:p>
      <w:pPr>
        <w:pStyle w:val="Titre3"/>
        <w:numPr>
          <w:ilvl w:val="2"/>
          <w:numId w:val="14"/>
        </w:numPr>
        <w:spacing w:lineRule="auto" w:line="240" w:before="140" w:after="120"/>
        <w:jc w:val="center"/>
        <w:rPr>
          <w:rFonts w:ascii="Marianne" w:hAnsi="Marianne"/>
          <w:sz w:val="24"/>
          <w:szCs w:val="24"/>
        </w:rPr>
      </w:pPr>
      <w:bookmarkStart w:id="22" w:name="__RefHeading___Toc2166_1822059409"/>
      <w:bookmarkEnd w:id="22"/>
      <w:r>
        <w:rPr>
          <w:rFonts w:cs="Marianne" w:ascii="Marianne" w:hAnsi="Marianne"/>
          <w:color w:val="00A65D"/>
          <w:sz w:val="40"/>
          <w:szCs w:val="40"/>
        </w:rPr>
        <w:t xml:space="preserve">11 - </w:t>
      </w:r>
      <w:hyperlink r:id="rId13" w:tgtFrame="_blank">
        <w:r>
          <w:rPr>
            <w:rStyle w:val="ListLabel11"/>
            <w:rFonts w:cs="Marianne" w:ascii="Marianne" w:hAnsi="Marianne"/>
            <w:color w:val="00A65D"/>
            <w:sz w:val="40"/>
            <w:szCs w:val="40"/>
            <w:u w:val="single"/>
          </w:rPr>
          <w:t>Industrie du futur</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Landes</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bénéficiaires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7 (4%)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 (5%)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 (5%)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23" w:name="__DdeLink__225_361440075810"/>
            <w:r>
              <w:rPr>
                <w:rFonts w:ascii="Marianne" w:hAnsi="Marianne"/>
                <w:b/>
                <w:bCs/>
                <w:sz w:val="20"/>
                <w:szCs w:val="20"/>
              </w:rPr>
              <w:t>: Nouvelle-Aquitaine</w:t>
            </w:r>
            <w:bookmarkEnd w:id="23"/>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bénéficiaires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172 (7%)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74 (7%)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43 (6%)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bénéficiaires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2 403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1 007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705  </w:t>
            </w:r>
          </w:p>
        </w:tc>
      </w:tr>
    </w:tbl>
    <w:p>
      <w:pPr>
        <w:pStyle w:val="Customstyle2"/>
        <w:rPr/>
      </w:pPr>
      <w:r>
        <w:rPr/>
      </w:r>
      <w:r>
        <w:br w:type="page"/>
      </w:r>
    </w:p>
    <w:p>
      <w:pPr>
        <w:pStyle w:val="Titre3"/>
        <w:numPr>
          <w:ilvl w:val="2"/>
          <w:numId w:val="15"/>
        </w:numPr>
        <w:spacing w:lineRule="auto" w:line="240" w:before="140" w:after="120"/>
        <w:jc w:val="center"/>
        <w:rPr>
          <w:rFonts w:ascii="Marianne" w:hAnsi="Marianne"/>
          <w:sz w:val="24"/>
          <w:szCs w:val="24"/>
        </w:rPr>
      </w:pPr>
      <w:bookmarkStart w:id="24" w:name="__RefHeading___Toc2168_1822059409"/>
      <w:bookmarkEnd w:id="24"/>
      <w:r>
        <w:rPr>
          <w:rFonts w:cs="Marianne" w:ascii="Marianne" w:hAnsi="Marianne"/>
          <w:color w:val="00A65D"/>
          <w:sz w:val="40"/>
          <w:szCs w:val="40"/>
        </w:rPr>
        <w:t xml:space="preserve">12 - </w:t>
      </w:r>
      <w:hyperlink r:id="rId14" w:tgtFrame="_blank">
        <w:r>
          <w:rPr>
            <w:rStyle w:val="ListLabel11"/>
            <w:rFonts w:cs="Marianne" w:ascii="Marianne" w:hAnsi="Marianne"/>
            <w:color w:val="00A65D"/>
            <w:sz w:val="40"/>
            <w:szCs w:val="40"/>
            <w:u w:val="single"/>
          </w:rPr>
          <w:t>Renforcement subventions Business France</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Landes</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bénéficiaires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8 (3%)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6 (2%)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6 (3%)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25" w:name="__DdeLink__225_361440075811"/>
            <w:r>
              <w:rPr>
                <w:rFonts w:ascii="Marianne" w:hAnsi="Marianne"/>
                <w:b/>
                <w:bCs/>
                <w:sz w:val="20"/>
                <w:szCs w:val="20"/>
              </w:rPr>
              <w:t>: Nouvelle-Aquitaine</w:t>
            </w:r>
            <w:bookmarkEnd w:id="25"/>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bénéficiaires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300 (9%)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253 (10%)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206 (10%)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bénéficiaires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3 184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2 651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2 145  </w:t>
            </w:r>
          </w:p>
        </w:tc>
      </w:tr>
    </w:tbl>
    <w:p>
      <w:pPr>
        <w:pStyle w:val="Normal"/>
        <w:spacing w:before="0" w:after="160"/>
        <w:rPr>
          <w:rFonts w:ascii="Marianne" w:hAnsi="Marianne"/>
          <w:sz w:val="6"/>
          <w:szCs w:val="6"/>
        </w:rPr>
      </w:pPr>
      <w:r>
        <w:rPr>
          <w:rFonts w:ascii="Marianne" w:hAnsi="Marianne"/>
          <w:sz w:val="6"/>
          <w:szCs w:val="6"/>
        </w:rPr>
      </w:r>
    </w:p>
    <w:tbl>
      <w:tblPr>
        <w:tblW w:w="9417" w:type="dxa"/>
        <w:jc w:val="left"/>
        <w:tblInd w:w="-5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Pr>
      <w:tblGrid>
        <w:gridCol w:w="9417"/>
      </w:tblGrid>
      <w:tr>
        <w:trPr>
          <w:trHeight w:val="2433" w:hRule="atLeast"/>
        </w:trPr>
        <w:tc>
          <w:tcPr>
            <w:tcW w:w="9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spacing w:lineRule="auto" w:line="240"/>
              <w:rPr/>
            </w:pPr>
            <w:r>
              <w:rPr>
                <w:rFonts w:ascii="Marianne" w:hAnsi="Marianne"/>
                <w:b/>
                <w:bCs/>
                <w:sz w:val="20"/>
                <w:szCs w:val="20"/>
              </w:rPr>
              <w:t xml:space="preserve"> </w:t>
            </w:r>
            <w:r>
              <w:rPr>
                <w:rFonts w:ascii="Marianne" w:hAnsi="Marianne"/>
                <w:b/>
                <w:bCs/>
                <w:sz w:val="20"/>
                <w:szCs w:val="20"/>
              </w:rPr>
              <w:t>Exemples de lauréats :</w:t>
            </w:r>
          </w:p>
          <w:p>
            <w:pPr>
              <w:pStyle w:val="Contenudecadre"/>
              <w:overflowPunct w:val="false"/>
              <w:spacing w:lineRule="auto" w:line="240" w:before="0" w:after="0"/>
              <w:jc w:val="left"/>
              <w:rPr/>
            </w:pPr>
            <w:r>
              <w:rPr>
                <w:rFonts w:eastAsia="Calibri" w:cs="" w:ascii="Marianne" w:hAnsi="Marianne" w:cstheme="minorBidi" w:eastAsiaTheme="minorHAnsi"/>
                <w:b w:val="false"/>
                <w:bCs w:val="false"/>
                <w:color w:val="auto"/>
                <w:sz w:val="20"/>
                <w:szCs w:val="20"/>
              </w:rPr>
              <w:t xml:space="preserve">Aucun nom de lauréat ne peut être mentionné pour cause de confidentialité dans l’instruction de Business France. Les 5 entreprises landaises ont bénéficié d’un chèque à l’export.  </w:t>
            </w:r>
          </w:p>
        </w:tc>
      </w:tr>
    </w:tbl>
    <w:p>
      <w:pPr>
        <w:pStyle w:val="Customstyle2"/>
        <w:rPr/>
      </w:pPr>
      <w:r>
        <w:rPr/>
      </w:r>
      <w:r>
        <w:br w:type="page"/>
      </w:r>
    </w:p>
    <w:p>
      <w:pPr>
        <w:pStyle w:val="Titre3"/>
        <w:numPr>
          <w:ilvl w:val="2"/>
          <w:numId w:val="16"/>
        </w:numPr>
        <w:spacing w:lineRule="auto" w:line="240" w:before="140" w:after="120"/>
        <w:jc w:val="center"/>
        <w:rPr>
          <w:rFonts w:ascii="Marianne" w:hAnsi="Marianne"/>
          <w:sz w:val="24"/>
          <w:szCs w:val="24"/>
        </w:rPr>
      </w:pPr>
      <w:bookmarkStart w:id="26" w:name="__RefHeading___Toc2170_1822059409"/>
      <w:bookmarkEnd w:id="26"/>
      <w:r>
        <w:rPr>
          <w:rFonts w:cs="Marianne" w:ascii="Marianne" w:hAnsi="Marianne"/>
          <w:color w:val="00A65D"/>
          <w:sz w:val="40"/>
          <w:szCs w:val="40"/>
        </w:rPr>
        <w:t xml:space="preserve">13 - </w:t>
      </w:r>
      <w:hyperlink r:id="rId15" w:tgtFrame="_blank">
        <w:r>
          <w:rPr>
            <w:rStyle w:val="ListLabel11"/>
            <w:rFonts w:cs="Marianne" w:ascii="Marianne" w:hAnsi="Marianne"/>
            <w:color w:val="00A65D"/>
            <w:sz w:val="40"/>
            <w:szCs w:val="40"/>
            <w:u w:val="single"/>
          </w:rPr>
          <w:t>Soutien aux filières culturelles (cinéma, audiovisuel, musique, numérique, livre)</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Landes</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aidées dans les secteurs du cinéma, de l'audiovisuel, du numérique et du livre</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53 (9%)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53 (10%)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27" w:name="__DdeLink__225_361440075812"/>
            <w:r>
              <w:rPr>
                <w:rFonts w:ascii="Marianne" w:hAnsi="Marianne"/>
                <w:b/>
                <w:bCs/>
                <w:sz w:val="20"/>
                <w:szCs w:val="20"/>
              </w:rPr>
              <w:t>: Nouvelle-Aquitaine</w:t>
            </w:r>
            <w:bookmarkEnd w:id="27"/>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aidées dans les secteurs du cinéma, de l'audiovisuel, du numérique et du livre</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562 (14%)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548 (14%)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0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aidées dans les secteurs du cinéma, de l'audiovisuel, du numérique et du livre</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4 041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3 876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bl>
    <w:p>
      <w:pPr>
        <w:pStyle w:val="Customstyle2"/>
        <w:rPr/>
      </w:pPr>
      <w:r>
        <w:rPr/>
      </w:r>
      <w:r>
        <w:br w:type="page"/>
      </w:r>
    </w:p>
    <w:p>
      <w:pPr>
        <w:pStyle w:val="Normal"/>
        <w:rPr>
          <w:rFonts w:ascii="Marianne" w:hAnsi="Marianne" w:cs="Arial"/>
          <w:sz w:val="56"/>
          <w:szCs w:val="56"/>
        </w:rPr>
      </w:pPr>
      <w:r>
        <w:rPr>
          <w:rFonts w:cs="Arial" w:ascii="Marianne" w:hAnsi="Marianne"/>
          <w:sz w:val="56"/>
          <w:szCs w:val="56"/>
        </w:rPr>
      </w:r>
    </w:p>
    <w:p>
      <w:pPr>
        <w:pStyle w:val="Titre2"/>
        <w:numPr>
          <w:ilvl w:val="1"/>
          <w:numId w:val="17"/>
        </w:numPr>
        <w:rPr>
          <w:sz w:val="44"/>
          <w:szCs w:val="44"/>
        </w:rPr>
      </w:pPr>
      <w:bookmarkStart w:id="28" w:name="__RefHeading___Toc2172_1822059409"/>
      <w:bookmarkEnd w:id="28"/>
      <w:r>
        <w:rPr>
          <w:rFonts w:ascii="Marianne" w:hAnsi="Marianne"/>
          <w:sz w:val="48"/>
          <w:szCs w:val="48"/>
        </w:rPr>
        <w:t>Volet 3 : Cohésion</w:t>
      </w:r>
    </w:p>
    <w:tbl>
      <w:tblPr>
        <w:tblW w:w="90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Pr>
      <w:tblGrid>
        <w:gridCol w:w="9072"/>
      </w:tblGrid>
      <w:tr>
        <w:trPr>
          <w:trHeight w:val="8055" w:hRule="atLeast"/>
        </w:trPr>
        <w:tc>
          <w:tcPr>
            <w:tcW w:w="90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cadre"/>
              <w:overflowPunct w:val="true"/>
              <w:spacing w:lineRule="auto" w:line="240" w:before="0" w:after="0"/>
              <w:jc w:val="left"/>
              <w:rPr>
                <w:rFonts w:ascii="Marianne" w:hAnsi="Marianne"/>
              </w:rPr>
            </w:pPr>
            <w:r>
              <w:rPr>
                <w:rFonts w:eastAsia="Calibri" w:cs="" w:ascii="Marianne" w:hAnsi="Marianne" w:cstheme="minorBidi" w:eastAsiaTheme="minorHAnsi"/>
                <w:b/>
                <w:bCs/>
                <w:color w:val="auto"/>
                <w:sz w:val="20"/>
                <w:szCs w:val="20"/>
              </w:rPr>
              <w:t xml:space="preserve"> </w:t>
            </w:r>
            <w:r>
              <w:rPr>
                <w:rFonts w:eastAsia="Calibri" w:cs="" w:ascii="Marianne" w:hAnsi="Marianne" w:cstheme="minorBidi" w:eastAsiaTheme="minorHAnsi"/>
                <w:b/>
                <w:bCs/>
                <w:color w:val="auto"/>
                <w:sz w:val="20"/>
                <w:szCs w:val="20"/>
              </w:rPr>
              <w:t>Commentaires généraux :</w:t>
            </w:r>
            <w:r>
              <w:rPr>
                <w:rFonts w:eastAsia="Calibri" w:cs="" w:ascii="Marianne" w:hAnsi="Marianne" w:cstheme="minorBidi" w:eastAsiaTheme="minorHAnsi"/>
                <w:b w:val="false"/>
                <w:bCs w:val="false"/>
                <w:color w:val="auto"/>
                <w:sz w:val="20"/>
                <w:szCs w:val="20"/>
              </w:rPr>
              <w:t xml:space="preserve"> </w:t>
            </w:r>
          </w:p>
          <w:p>
            <w:pPr>
              <w:pStyle w:val="Contenudecadre"/>
              <w:overflowPunct w:val="true"/>
              <w:spacing w:lineRule="auto" w:line="240" w:before="0" w:after="0"/>
              <w:jc w:val="left"/>
              <w:rPr>
                <w:rFonts w:ascii="Marianne" w:hAnsi="Marianne"/>
              </w:rPr>
            </w:pPr>
            <w:r>
              <w:rPr>
                <w:rFonts w:eastAsia="Calibri" w:cs="" w:ascii="Marianne" w:hAnsi="Marianne" w:cstheme="minorBidi" w:eastAsiaTheme="minorHAnsi"/>
                <w:b w:val="false"/>
                <w:bCs w:val="false"/>
                <w:color w:val="auto"/>
                <w:sz w:val="20"/>
                <w:szCs w:val="20"/>
              </w:rPr>
              <w:t xml:space="preserve">Quelques chiffres représentatifs : </w:t>
              <w:br/>
              <w:t xml:space="preserve"> </w:t>
              <w:br/>
              <w:t xml:space="preserve">- Ségur de la santé : pour les Landes, 2,9M€ attribués pour l’investissement au quotidien des établissements de santé, et 1,7 M€ également prévus au titre d’un enveloppe visant à réduire les inégalités territoriales entre les départements de Nouvelle-Aquitaine </w:t>
              <w:br/>
              <w:t xml:space="preserve">- </w:t>
              <w:br/>
              <w:t xml:space="preserve">- Inclusion numérique : 30 conseillers numériques réservés pour le département des Landes pour un engagement de l’État de 1,5M€ </w:t>
              <w:br/>
              <w:t xml:space="preserve"> </w:t>
              <w:br/>
              <w:t xml:space="preserve">- Enveloppe de DSIL exceptionnelle à hauteur de 5,8M€ </w:t>
              <w:br/>
              <w:t xml:space="preserve"> </w:t>
              <w:br/>
              <w:t xml:space="preserve">- Une enveloppe départementale de 311 000 € pour soutenir les projets numériques des petites et moyennes collectivités  </w:t>
            </w:r>
          </w:p>
        </w:tc>
      </w:tr>
    </w:tbl>
    <w:p>
      <w:pPr>
        <w:pStyle w:val="Customstyle2"/>
        <w:rPr/>
      </w:pPr>
      <w:r>
        <w:rPr/>
      </w:r>
      <w:r>
        <w:br w:type="page"/>
      </w:r>
    </w:p>
    <w:p>
      <w:pPr>
        <w:pStyle w:val="Titre3"/>
        <w:numPr>
          <w:ilvl w:val="2"/>
          <w:numId w:val="18"/>
        </w:numPr>
        <w:spacing w:lineRule="auto" w:line="240" w:before="140" w:after="120"/>
        <w:jc w:val="center"/>
        <w:rPr>
          <w:rFonts w:ascii="Marianne" w:hAnsi="Marianne"/>
          <w:sz w:val="24"/>
          <w:szCs w:val="24"/>
        </w:rPr>
      </w:pPr>
      <w:bookmarkStart w:id="29" w:name="__RefHeading___Toc2174_1822059409"/>
      <w:bookmarkEnd w:id="29"/>
      <w:r>
        <w:rPr>
          <w:rFonts w:cs="Marianne" w:ascii="Marianne" w:hAnsi="Marianne"/>
          <w:color w:val="00A65D"/>
          <w:sz w:val="40"/>
          <w:szCs w:val="40"/>
        </w:rPr>
        <w:t xml:space="preserve">14 - </w:t>
      </w:r>
      <w:hyperlink r:id="rId16" w:tgtFrame="_blank">
        <w:r>
          <w:rPr>
            <w:rStyle w:val="ListLabel11"/>
            <w:rFonts w:cs="Marianne" w:ascii="Marianne" w:hAnsi="Marianne"/>
            <w:color w:val="00A65D"/>
            <w:sz w:val="40"/>
            <w:szCs w:val="40"/>
            <w:u w:val="single"/>
          </w:rPr>
          <w:t>Apprentissage</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Landes</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contrats d’apprentissage</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2 105 (5%)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1 895 (5%)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1 744 (5%)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30" w:name="__DdeLink__225_361440075813"/>
            <w:r>
              <w:rPr>
                <w:rFonts w:ascii="Marianne" w:hAnsi="Marianne"/>
                <w:b/>
                <w:bCs/>
                <w:sz w:val="20"/>
                <w:szCs w:val="20"/>
              </w:rPr>
              <w:t>: Nouvelle-Aquitaine</w:t>
            </w:r>
            <w:bookmarkEnd w:id="30"/>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contrats d’apprentissage</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39 914 (9%)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36 997 (9%)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33 737 (9%)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contrats d’apprentissage</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463 014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431 880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396 156  </w:t>
            </w:r>
          </w:p>
        </w:tc>
      </w:tr>
    </w:tbl>
    <w:p>
      <w:pPr>
        <w:pStyle w:val="Customstyle2"/>
        <w:rPr/>
      </w:pPr>
      <w:r>
        <w:rPr/>
      </w:r>
      <w:r>
        <w:br w:type="page"/>
      </w:r>
    </w:p>
    <w:p>
      <w:pPr>
        <w:pStyle w:val="Titre3"/>
        <w:numPr>
          <w:ilvl w:val="2"/>
          <w:numId w:val="19"/>
        </w:numPr>
        <w:spacing w:lineRule="auto" w:line="240" w:before="140" w:after="120"/>
        <w:jc w:val="center"/>
        <w:rPr>
          <w:rFonts w:ascii="Marianne" w:hAnsi="Marianne"/>
          <w:sz w:val="24"/>
          <w:szCs w:val="24"/>
        </w:rPr>
      </w:pPr>
      <w:bookmarkStart w:id="31" w:name="__RefHeading___Toc2176_1822059409"/>
      <w:bookmarkEnd w:id="31"/>
      <w:r>
        <w:rPr>
          <w:rFonts w:cs="Marianne" w:ascii="Marianne" w:hAnsi="Marianne"/>
          <w:color w:val="00A65D"/>
          <w:sz w:val="40"/>
          <w:szCs w:val="40"/>
        </w:rPr>
        <w:t xml:space="preserve">15 - </w:t>
      </w:r>
      <w:hyperlink r:id="rId17" w:tgtFrame="_blank">
        <w:r>
          <w:rPr>
            <w:rStyle w:val="ListLabel11"/>
            <w:rFonts w:cs="Marianne" w:ascii="Marianne" w:hAnsi="Marianne"/>
            <w:color w:val="00A65D"/>
            <w:sz w:val="40"/>
            <w:szCs w:val="40"/>
            <w:u w:val="single"/>
          </w:rPr>
          <w:t>Contrats Initiatives Emploi (CIE) Jeunes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Landes</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de jeunes en CIE</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162 (9%)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123 (9%)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91 (9%)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32" w:name="__DdeLink__225_361440075814"/>
            <w:r>
              <w:rPr>
                <w:rFonts w:ascii="Marianne" w:hAnsi="Marianne"/>
                <w:b/>
                <w:bCs/>
                <w:sz w:val="20"/>
                <w:szCs w:val="20"/>
              </w:rPr>
              <w:t>: Nouvelle-Aquitaine</w:t>
            </w:r>
            <w:bookmarkEnd w:id="32"/>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de jeunes en CIE</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1 877 (10%)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1 374 (10%)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965 (10%)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de jeunes en CIE</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19 500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14 442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10 146  </w:t>
            </w:r>
          </w:p>
        </w:tc>
      </w:tr>
    </w:tbl>
    <w:p>
      <w:pPr>
        <w:pStyle w:val="Customstyle2"/>
        <w:rPr/>
      </w:pPr>
      <w:r>
        <w:rPr/>
      </w:r>
      <w:r>
        <w:br w:type="page"/>
      </w:r>
    </w:p>
    <w:p>
      <w:pPr>
        <w:pStyle w:val="Titre3"/>
        <w:numPr>
          <w:ilvl w:val="2"/>
          <w:numId w:val="20"/>
        </w:numPr>
        <w:spacing w:lineRule="auto" w:line="240" w:before="140" w:after="120"/>
        <w:jc w:val="center"/>
        <w:rPr>
          <w:rFonts w:ascii="Marianne" w:hAnsi="Marianne"/>
          <w:sz w:val="24"/>
          <w:szCs w:val="24"/>
        </w:rPr>
      </w:pPr>
      <w:bookmarkStart w:id="33" w:name="__RefHeading___Toc2178_1822059409"/>
      <w:bookmarkEnd w:id="33"/>
      <w:r>
        <w:rPr>
          <w:rFonts w:cs="Marianne" w:ascii="Marianne" w:hAnsi="Marianne"/>
          <w:color w:val="00A65D"/>
          <w:sz w:val="40"/>
          <w:szCs w:val="40"/>
        </w:rPr>
        <w:t xml:space="preserve">16 - </w:t>
      </w:r>
      <w:hyperlink r:id="rId18" w:tgtFrame="_blank">
        <w:r>
          <w:rPr>
            <w:rStyle w:val="ListLabel11"/>
            <w:rFonts w:cs="Marianne" w:ascii="Marianne" w:hAnsi="Marianne"/>
            <w:color w:val="00A65D"/>
            <w:sz w:val="40"/>
            <w:szCs w:val="40"/>
            <w:u w:val="single"/>
          </w:rPr>
          <w:t>Contrats de professionnalisation</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Landes</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contrats de professionnalisation</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160 (5%)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137 (5%)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128 (5%)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34" w:name="__DdeLink__225_361440075815"/>
            <w:r>
              <w:rPr>
                <w:rFonts w:ascii="Marianne" w:hAnsi="Marianne"/>
                <w:b/>
                <w:bCs/>
                <w:sz w:val="20"/>
                <w:szCs w:val="20"/>
              </w:rPr>
              <w:t>: Nouvelle-Aquitaine</w:t>
            </w:r>
            <w:bookmarkEnd w:id="34"/>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contrats de professionnalisation</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3 147 (7%)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2 787 (7%)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2 640 (7%)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contrats de professionnalisation</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47 767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42 619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38 193  </w:t>
            </w:r>
          </w:p>
        </w:tc>
      </w:tr>
    </w:tbl>
    <w:p>
      <w:pPr>
        <w:pStyle w:val="Customstyle2"/>
        <w:rPr/>
      </w:pPr>
      <w:r>
        <w:rPr/>
      </w:r>
      <w:r>
        <w:br w:type="page"/>
      </w:r>
    </w:p>
    <w:p>
      <w:pPr>
        <w:pStyle w:val="Titre3"/>
        <w:numPr>
          <w:ilvl w:val="2"/>
          <w:numId w:val="21"/>
        </w:numPr>
        <w:spacing w:lineRule="auto" w:line="240" w:before="140" w:after="120"/>
        <w:jc w:val="center"/>
        <w:rPr>
          <w:rFonts w:ascii="Marianne" w:hAnsi="Marianne"/>
          <w:sz w:val="24"/>
          <w:szCs w:val="24"/>
        </w:rPr>
      </w:pPr>
      <w:bookmarkStart w:id="35" w:name="__RefHeading___Toc2180_1822059409"/>
      <w:bookmarkEnd w:id="35"/>
      <w:r>
        <w:rPr>
          <w:rFonts w:cs="Marianne" w:ascii="Marianne" w:hAnsi="Marianne"/>
          <w:color w:val="00A65D"/>
          <w:sz w:val="40"/>
          <w:szCs w:val="40"/>
        </w:rPr>
        <w:t xml:space="preserve">17 - </w:t>
      </w:r>
      <w:hyperlink r:id="rId19" w:tgtFrame="_blank">
        <w:r>
          <w:rPr>
            <w:rStyle w:val="ListLabel11"/>
            <w:rFonts w:cs="Marianne" w:ascii="Marianne" w:hAnsi="Marianne"/>
            <w:color w:val="00A65D"/>
            <w:sz w:val="40"/>
            <w:szCs w:val="40"/>
            <w:u w:val="single"/>
          </w:rPr>
          <w:t>Garantie jeunes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Landes</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en garanties jeunes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221 (3%)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168 (3%)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157 (4%)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36" w:name="__DdeLink__225_361440075816"/>
            <w:r>
              <w:rPr>
                <w:rFonts w:ascii="Marianne" w:hAnsi="Marianne"/>
                <w:b/>
                <w:bCs/>
                <w:sz w:val="20"/>
                <w:szCs w:val="20"/>
              </w:rPr>
              <w:t>: Nouvelle-Aquitaine</w:t>
            </w:r>
            <w:bookmarkEnd w:id="36"/>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en garanties jeunes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6 585 (8%)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5 315 (8%)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4 420 (8%)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en garanties jeunes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84 019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68 312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55 933  </w:t>
            </w:r>
          </w:p>
        </w:tc>
      </w:tr>
    </w:tbl>
    <w:p>
      <w:pPr>
        <w:pStyle w:val="Customstyle2"/>
        <w:rPr/>
      </w:pPr>
      <w:r>
        <w:rPr/>
      </w:r>
      <w:r>
        <w:br w:type="page"/>
      </w:r>
    </w:p>
    <w:p>
      <w:pPr>
        <w:pStyle w:val="Titre3"/>
        <w:numPr>
          <w:ilvl w:val="2"/>
          <w:numId w:val="22"/>
        </w:numPr>
        <w:spacing w:lineRule="auto" w:line="240" w:before="140" w:after="120"/>
        <w:jc w:val="center"/>
        <w:rPr>
          <w:rFonts w:ascii="Marianne" w:hAnsi="Marianne"/>
          <w:sz w:val="24"/>
          <w:szCs w:val="24"/>
        </w:rPr>
      </w:pPr>
      <w:bookmarkStart w:id="37" w:name="__RefHeading___Toc2182_1822059409"/>
      <w:bookmarkEnd w:id="37"/>
      <w:r>
        <w:rPr>
          <w:rFonts w:cs="Marianne" w:ascii="Marianne" w:hAnsi="Marianne"/>
          <w:color w:val="00A65D"/>
          <w:sz w:val="40"/>
          <w:szCs w:val="40"/>
        </w:rPr>
        <w:t xml:space="preserve">18 - </w:t>
      </w:r>
      <w:hyperlink r:id="rId20" w:tgtFrame="_blank">
        <w:r>
          <w:rPr>
            <w:rStyle w:val="ListLabel11"/>
            <w:rFonts w:cs="Marianne" w:ascii="Marianne" w:hAnsi="Marianne"/>
            <w:color w:val="00A65D"/>
            <w:sz w:val="40"/>
            <w:szCs w:val="40"/>
            <w:u w:val="single"/>
          </w:rPr>
          <w:t>Parcours emploi compétences (PEC) Jeunes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Landes</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de jeunes en PEC</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73 (6%)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66 (6%)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55 (6%)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38" w:name="__DdeLink__225_361440075817"/>
            <w:r>
              <w:rPr>
                <w:rFonts w:ascii="Marianne" w:hAnsi="Marianne"/>
                <w:b/>
                <w:bCs/>
                <w:sz w:val="20"/>
                <w:szCs w:val="20"/>
              </w:rPr>
              <w:t>: Nouvelle-Aquitaine</w:t>
            </w:r>
            <w:bookmarkEnd w:id="38"/>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de jeunes en PEC</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1 306 (8%)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1 148 (9%)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976 (9%)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de jeunes en PEC</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15 460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13 437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11 369  </w:t>
            </w:r>
          </w:p>
        </w:tc>
      </w:tr>
    </w:tbl>
    <w:p>
      <w:pPr>
        <w:pStyle w:val="Customstyle2"/>
        <w:rPr/>
      </w:pPr>
      <w:r>
        <w:rPr/>
      </w:r>
      <w:r>
        <w:br w:type="page"/>
      </w:r>
    </w:p>
    <w:p>
      <w:pPr>
        <w:pStyle w:val="Titre3"/>
        <w:numPr>
          <w:ilvl w:val="2"/>
          <w:numId w:val="23"/>
        </w:numPr>
        <w:spacing w:lineRule="auto" w:line="240" w:before="140" w:after="120"/>
        <w:jc w:val="center"/>
        <w:rPr>
          <w:rFonts w:ascii="Marianne" w:hAnsi="Marianne"/>
          <w:sz w:val="24"/>
          <w:szCs w:val="24"/>
        </w:rPr>
      </w:pPr>
      <w:bookmarkStart w:id="39" w:name="__RefHeading___Toc2184_1822059409"/>
      <w:bookmarkEnd w:id="39"/>
      <w:r>
        <w:rPr>
          <w:rFonts w:cs="Marianne" w:ascii="Marianne" w:hAnsi="Marianne"/>
          <w:color w:val="00A65D"/>
          <w:sz w:val="40"/>
          <w:szCs w:val="40"/>
        </w:rPr>
        <w:t xml:space="preserve">19 - </w:t>
      </w:r>
      <w:hyperlink r:id="rId21" w:tgtFrame="_blank">
        <w:r>
          <w:rPr>
            <w:rStyle w:val="ListLabel11"/>
            <w:rFonts w:cs="Marianne" w:ascii="Marianne" w:hAnsi="Marianne"/>
            <w:color w:val="00A65D"/>
            <w:sz w:val="40"/>
            <w:szCs w:val="40"/>
            <w:u w:val="single"/>
          </w:rPr>
          <w:t>Prime à l'embauche des jeunes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Landes</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d'aides à l'embauche des jeunes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1 754 (6%)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1 496 (6%)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1 251 (5%)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40" w:name="__DdeLink__225_361440075818"/>
            <w:r>
              <w:rPr>
                <w:rFonts w:ascii="Marianne" w:hAnsi="Marianne"/>
                <w:b/>
                <w:bCs/>
                <w:sz w:val="20"/>
                <w:szCs w:val="20"/>
              </w:rPr>
              <w:t>: Nouvelle-Aquitaine</w:t>
            </w:r>
            <w:bookmarkEnd w:id="40"/>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d'aides à l'embauche des jeunes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30 764 (8%)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26 660 (8%)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22 823 (8%)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d'aides à l'embauche des jeunes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372 083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320 336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275 602  </w:t>
            </w:r>
          </w:p>
        </w:tc>
      </w:tr>
    </w:tbl>
    <w:p>
      <w:pPr>
        <w:pStyle w:val="Customstyle2"/>
        <w:rPr/>
      </w:pPr>
      <w:r>
        <w:rPr/>
      </w:r>
      <w:r>
        <w:br w:type="page"/>
      </w:r>
    </w:p>
    <w:p>
      <w:pPr>
        <w:pStyle w:val="Titre3"/>
        <w:numPr>
          <w:ilvl w:val="2"/>
          <w:numId w:val="24"/>
        </w:numPr>
        <w:spacing w:lineRule="auto" w:line="240" w:before="140" w:after="120"/>
        <w:jc w:val="center"/>
        <w:rPr>
          <w:rFonts w:ascii="Marianne" w:hAnsi="Marianne"/>
          <w:sz w:val="24"/>
          <w:szCs w:val="24"/>
        </w:rPr>
      </w:pPr>
      <w:bookmarkStart w:id="41" w:name="__RefHeading___Toc2186_1822059409"/>
      <w:bookmarkEnd w:id="41"/>
      <w:r>
        <w:rPr>
          <w:rFonts w:cs="Marianne" w:ascii="Marianne" w:hAnsi="Marianne"/>
          <w:color w:val="00A65D"/>
          <w:sz w:val="40"/>
          <w:szCs w:val="40"/>
        </w:rPr>
        <w:t xml:space="preserve">20 - </w:t>
      </w:r>
      <w:hyperlink r:id="rId22" w:tgtFrame="_blank">
        <w:r>
          <w:rPr>
            <w:rStyle w:val="ListLabel11"/>
            <w:rFonts w:cs="Marianne" w:ascii="Marianne" w:hAnsi="Marianne"/>
            <w:color w:val="00A65D"/>
            <w:sz w:val="40"/>
            <w:szCs w:val="40"/>
            <w:u w:val="single"/>
          </w:rPr>
          <w:t>Prime à l'embauche pour les travailleurs handicapés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Landes</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d'aides à l'embauche des travailleurs handicapés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80 (5%)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62 (5%)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56 (5%)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42" w:name="__DdeLink__225_361440075819"/>
            <w:r>
              <w:rPr>
                <w:rFonts w:ascii="Marianne" w:hAnsi="Marianne"/>
                <w:b/>
                <w:bCs/>
                <w:sz w:val="20"/>
                <w:szCs w:val="20"/>
              </w:rPr>
              <w:t>: Nouvelle-Aquitaine</w:t>
            </w:r>
            <w:bookmarkEnd w:id="42"/>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d'aides à l'embauche des travailleurs handicapés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1 460 (12%)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1 239 (12%)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1 056 (12%)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d'aides à l'embauche des travailleurs handicapés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12 099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10 042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8 497  </w:t>
            </w:r>
          </w:p>
        </w:tc>
      </w:tr>
    </w:tbl>
    <w:p>
      <w:pPr>
        <w:pStyle w:val="Customstyle2"/>
        <w:rPr/>
      </w:pPr>
      <w:r>
        <w:rPr/>
      </w:r>
      <w:r>
        <w:br w:type="page"/>
      </w:r>
    </w:p>
    <w:p>
      <w:pPr>
        <w:pStyle w:val="Titre3"/>
        <w:numPr>
          <w:ilvl w:val="2"/>
          <w:numId w:val="25"/>
        </w:numPr>
        <w:spacing w:lineRule="auto" w:line="240" w:before="140" w:after="120"/>
        <w:jc w:val="center"/>
        <w:rPr>
          <w:rFonts w:ascii="Marianne" w:hAnsi="Marianne"/>
          <w:sz w:val="24"/>
          <w:szCs w:val="24"/>
        </w:rPr>
      </w:pPr>
      <w:bookmarkStart w:id="43" w:name="__RefHeading___Toc2188_1822059409"/>
      <w:bookmarkEnd w:id="43"/>
      <w:r>
        <w:rPr>
          <w:rFonts w:cs="Marianne" w:ascii="Marianne" w:hAnsi="Marianne"/>
          <w:color w:val="00A65D"/>
          <w:sz w:val="40"/>
          <w:szCs w:val="40"/>
        </w:rPr>
        <w:t xml:space="preserve">21 - </w:t>
      </w:r>
      <w:hyperlink r:id="rId23" w:tgtFrame="_blank">
        <w:r>
          <w:rPr>
            <w:rStyle w:val="ListLabel11"/>
            <w:rFonts w:cs="Marianne" w:ascii="Marianne" w:hAnsi="Marianne"/>
            <w:color w:val="00A65D"/>
            <w:sz w:val="40"/>
            <w:szCs w:val="40"/>
            <w:u w:val="single"/>
          </w:rPr>
          <w:t>Service civique</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Landes</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d'entrées en service civique</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354 (5%)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354 (5%)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334 (5%)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44" w:name="__DdeLink__225_361440075820"/>
            <w:r>
              <w:rPr>
                <w:rFonts w:ascii="Marianne" w:hAnsi="Marianne"/>
                <w:b/>
                <w:bCs/>
                <w:sz w:val="20"/>
                <w:szCs w:val="20"/>
              </w:rPr>
              <w:t>: Nouvelle-Aquitaine</w:t>
            </w:r>
            <w:bookmarkEnd w:id="44"/>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d'entrées en service civique</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7 051 (9%)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7 051 (9%)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6 429 (9%)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d'entrées en service civique</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79 626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79 626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71 751  </w:t>
            </w:r>
          </w:p>
        </w:tc>
      </w:tr>
    </w:tbl>
    <w:sectPr>
      <w:headerReference w:type="default" r:id="rId24"/>
      <w:footerReference w:type="default" r:id="rId25"/>
      <w:type w:val="nextPage"/>
      <w:pgSz w:w="11906" w:h="16838"/>
      <w:pgMar w:left="1144" w:right="1406" w:header="708"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Arial">
    <w:charset w:val="01"/>
    <w:family w:val="roman"/>
    <w:pitch w:val="variable"/>
  </w:font>
  <w:font w:name="Marianne">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rFonts w:ascii="Marianne" w:hAnsi="Marianne"/>
      </w:rPr>
    </w:pPr>
    <w:r>
      <w:rPr>
        <w:rFonts w:ascii="Marianne" w:hAnsi="Marianne"/>
      </w:rPr>
      <w:tab/>
      <w:tab/>
    </w:r>
    <w:r>
      <w:rPr>
        <w:rFonts w:ascii="Marianne" w:hAnsi="Marianne"/>
        <w:sz w:val="22"/>
        <w:szCs w:val="22"/>
      </w:rPr>
      <w:fldChar w:fldCharType="begin"/>
    </w:r>
    <w:r>
      <w:rPr>
        <w:sz w:val="22"/>
        <w:szCs w:val="22"/>
        <w:rFonts w:ascii="Marianne" w:hAnsi="Marianne"/>
      </w:rPr>
      <w:instrText> PAGE </w:instrText>
    </w:r>
    <w:r>
      <w:rPr>
        <w:sz w:val="22"/>
        <w:szCs w:val="22"/>
        <w:rFonts w:ascii="Marianne" w:hAnsi="Marianne"/>
      </w:rPr>
      <w:fldChar w:fldCharType="separate"/>
    </w:r>
    <w:r>
      <w:rPr>
        <w:sz w:val="22"/>
        <w:szCs w:val="22"/>
        <w:rFonts w:ascii="Marianne" w:hAnsi="Marianne"/>
      </w:rPr>
      <w:t>26</w:t>
    </w:r>
    <w:r>
      <w:rPr>
        <w:sz w:val="22"/>
        <w:szCs w:val="22"/>
        <w:rFonts w:ascii="Marianne" w:hAnsi="Marianne"/>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drawing>
        <wp:anchor behindDoc="0" distT="0" distB="9525" distL="114300" distR="114300" simplePos="0" locked="0" layoutInCell="1" allowOverlap="1" relativeHeight="27">
          <wp:simplePos x="0" y="0"/>
          <wp:positionH relativeFrom="column">
            <wp:posOffset>-361315</wp:posOffset>
          </wp:positionH>
          <wp:positionV relativeFrom="paragraph">
            <wp:posOffset>-211455</wp:posOffset>
          </wp:positionV>
          <wp:extent cx="660400" cy="596265"/>
          <wp:effectExtent l="0" t="0" r="0" b="0"/>
          <wp:wrapTight wrapText="bothSides">
            <wp:wrapPolygon edited="0">
              <wp:start x="-630" y="0"/>
              <wp:lineTo x="-630" y="20684"/>
              <wp:lineTo x="20573" y="20684"/>
              <wp:lineTo x="20573" y="0"/>
              <wp:lineTo x="-630" y="0"/>
            </wp:wrapPolygon>
          </wp:wrapTight>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1"/>
                  <a:stretch>
                    <a:fillRect/>
                  </a:stretch>
                </pic:blipFill>
                <pic:spPr bwMode="auto">
                  <a:xfrm>
                    <a:off x="0" y="0"/>
                    <a:ext cx="660400" cy="596265"/>
                  </a:xfrm>
                  <a:prstGeom prst="rect">
                    <a:avLst/>
                  </a:prstGeom>
                </pic:spPr>
              </pic:pic>
            </a:graphicData>
          </a:graphic>
        </wp:anchor>
      </w:drawing>
      <w:drawing>
        <wp:anchor behindDoc="0" distT="0" distB="0" distL="114300" distR="114300" simplePos="0" locked="0" layoutInCell="1" allowOverlap="1" relativeHeight="53">
          <wp:simplePos x="0" y="0"/>
          <wp:positionH relativeFrom="column">
            <wp:posOffset>4972685</wp:posOffset>
          </wp:positionH>
          <wp:positionV relativeFrom="paragraph">
            <wp:posOffset>-260350</wp:posOffset>
          </wp:positionV>
          <wp:extent cx="963930" cy="642620"/>
          <wp:effectExtent l="0" t="0" r="0" b="0"/>
          <wp:wrapTight wrapText="bothSides">
            <wp:wrapPolygon edited="0">
              <wp:start x="-1262" y="0"/>
              <wp:lineTo x="-1262" y="19299"/>
              <wp:lineTo x="20085" y="19299"/>
              <wp:lineTo x="20085" y="0"/>
              <wp:lineTo x="-1262" y="0"/>
            </wp:wrapPolygon>
          </wp:wrapTight>
          <wp:docPr id="2"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
                  <pic:cNvPicPr>
                    <a:picLocks noChangeAspect="1" noChangeArrowheads="1"/>
                  </pic:cNvPicPr>
                </pic:nvPicPr>
                <pic:blipFill>
                  <a:blip r:embed="rId2"/>
                  <a:stretch>
                    <a:fillRect/>
                  </a:stretch>
                </pic:blipFill>
                <pic:spPr bwMode="auto">
                  <a:xfrm>
                    <a:off x="0" y="0"/>
                    <a:ext cx="963930" cy="64262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Titre2"/>
      <w:numFmt w:val="none"/>
      <w:suff w:val="nothing"/>
      <w:lvlText w:val=""/>
      <w:lvlJc w:val="left"/>
      <w:pPr>
        <w:ind w:left="0" w:hanging="0"/>
      </w:pPr>
    </w:lvl>
    <w:lvl w:ilvl="2">
      <w:start w:val="1"/>
      <w:pStyle w:val="Titre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8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color w:val="00000A"/>
      <w:kern w:val="0"/>
      <w:sz w:val="22"/>
      <w:szCs w:val="22"/>
      <w:lang w:val="fr-FR" w:eastAsia="en-US" w:bidi="ar-SA"/>
    </w:rPr>
  </w:style>
  <w:style w:type="paragraph" w:styleId="Titre1">
    <w:name w:val="Heading 1"/>
    <w:basedOn w:val="Normal"/>
    <w:next w:val="Normal"/>
    <w:link w:val="Titre1Car"/>
    <w:uiPriority w:val="9"/>
    <w:qFormat/>
    <w:rsid w:val="00426df4"/>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itre2">
    <w:name w:val="Heading 2"/>
    <w:basedOn w:val="Titre"/>
    <w:qFormat/>
    <w:pPr>
      <w:numPr>
        <w:ilvl w:val="1"/>
        <w:numId w:val="1"/>
      </w:numPr>
      <w:spacing w:before="200" w:after="120"/>
      <w:outlineLvl w:val="1"/>
    </w:pPr>
    <w:rPr>
      <w:b/>
      <w:bCs/>
      <w:sz w:val="32"/>
      <w:szCs w:val="32"/>
    </w:rPr>
  </w:style>
  <w:style w:type="paragraph" w:styleId="Titre3">
    <w:name w:val="Heading 3"/>
    <w:basedOn w:val="Titre"/>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uiPriority w:val="99"/>
    <w:qFormat/>
    <w:rsid w:val="001a3e83"/>
    <w:rPr/>
  </w:style>
  <w:style w:type="character" w:styleId="PieddepageCar" w:customStyle="1">
    <w:name w:val="Pied de page Car"/>
    <w:basedOn w:val="DefaultParagraphFont"/>
    <w:link w:val="Pieddepage"/>
    <w:uiPriority w:val="99"/>
    <w:qFormat/>
    <w:rsid w:val="001a3e83"/>
    <w:rPr/>
  </w:style>
  <w:style w:type="character" w:styleId="PrformatHTMLCar" w:customStyle="1">
    <w:name w:val="Préformaté HTML Car"/>
    <w:basedOn w:val="DefaultParagraphFont"/>
    <w:link w:val="PrformatHTML"/>
    <w:uiPriority w:val="99"/>
    <w:semiHidden/>
    <w:qFormat/>
    <w:rsid w:val="00d204ab"/>
    <w:rPr>
      <w:rFonts w:ascii="Courier New" w:hAnsi="Courier New" w:eastAsia="Times New Roman" w:cs="Courier New"/>
      <w:sz w:val="20"/>
      <w:szCs w:val="20"/>
      <w:lang w:eastAsia="fr-FR"/>
    </w:rPr>
  </w:style>
  <w:style w:type="character" w:styleId="P" w:customStyle="1">
    <w:name w:val="p"/>
    <w:basedOn w:val="DefaultParagraphFont"/>
    <w:qFormat/>
    <w:rsid w:val="00d204ab"/>
    <w:rPr/>
  </w:style>
  <w:style w:type="character" w:styleId="O" w:customStyle="1">
    <w:name w:val="o"/>
    <w:basedOn w:val="DefaultParagraphFont"/>
    <w:qFormat/>
    <w:rsid w:val="00d204ab"/>
    <w:rPr/>
  </w:style>
  <w:style w:type="character" w:styleId="N" w:customStyle="1">
    <w:name w:val="n"/>
    <w:basedOn w:val="DefaultParagraphFont"/>
    <w:qFormat/>
    <w:rsid w:val="00d204ab"/>
    <w:rPr/>
  </w:style>
  <w:style w:type="character" w:styleId="K" w:customStyle="1">
    <w:name w:val="k"/>
    <w:basedOn w:val="DefaultParagraphFont"/>
    <w:qFormat/>
    <w:rsid w:val="00d204ab"/>
    <w:rPr/>
  </w:style>
  <w:style w:type="character" w:styleId="Titre1Car" w:customStyle="1">
    <w:name w:val="Titre 1 Car"/>
    <w:basedOn w:val="DefaultParagraphFont"/>
    <w:link w:val="Titre1"/>
    <w:uiPriority w:val="9"/>
    <w:qFormat/>
    <w:rsid w:val="00426df4"/>
    <w:rPr>
      <w:rFonts w:ascii="Calibri Light" w:hAnsi="Calibri Light" w:eastAsia="" w:cs="" w:asciiTheme="majorHAnsi" w:cstheme="majorBidi" w:eastAsiaTheme="majorEastAsia" w:hAnsiTheme="majorHAnsi"/>
      <w:color w:val="2F5496" w:themeColor="accent1" w:themeShade="bf"/>
      <w:sz w:val="32"/>
      <w:szCs w:val="32"/>
    </w:rPr>
  </w:style>
  <w:style w:type="character" w:styleId="LienInternet">
    <w:name w:val="Lien Internet"/>
    <w:rPr>
      <w:color w:val="000080"/>
      <w:u w:val="single"/>
      <w:lang w:val="zxx" w:eastAsia="zxx" w:bidi="zxx"/>
    </w:rPr>
  </w:style>
  <w:style w:type="character" w:styleId="LienInternetvisit">
    <w:name w:val="Lien Internet visité"/>
    <w:rPr>
      <w:color w:val="800000"/>
      <w:u w:val="single"/>
      <w:lang w:val="zxx" w:eastAsia="zxx" w:bidi="zxx"/>
    </w:rPr>
  </w:style>
  <w:style w:type="character" w:styleId="ListLabel1">
    <w:name w:val="ListLabel 1"/>
    <w:qFormat/>
    <w:rPr>
      <w:rFonts w:ascii="Arial" w:hAnsi="Arial" w:cs="Arial"/>
      <w:i/>
      <w:iCs/>
      <w:sz w:val="40"/>
      <w:szCs w:val="40"/>
    </w:rPr>
  </w:style>
  <w:style w:type="character" w:styleId="ListLabel2">
    <w:name w:val="ListLabel 2"/>
    <w:qFormat/>
    <w:rPr>
      <w:rFonts w:ascii="Marianne" w:hAnsi="Marianne" w:cs="Arial"/>
      <w:i/>
      <w:iCs/>
      <w:sz w:val="40"/>
      <w:szCs w:val="40"/>
    </w:rPr>
  </w:style>
  <w:style w:type="character" w:styleId="ListLabel3">
    <w:name w:val="ListLabel 3"/>
    <w:qFormat/>
    <w:rPr>
      <w:rFonts w:ascii="Marianne" w:hAnsi="Marianne" w:cs="Arial"/>
      <w:i/>
      <w:iCs/>
      <w:sz w:val="40"/>
      <w:szCs w:val="40"/>
    </w:rPr>
  </w:style>
  <w:style w:type="character" w:styleId="ListLabel4">
    <w:name w:val="ListLabel 4"/>
    <w:qFormat/>
    <w:rPr>
      <w:rFonts w:ascii="Marianne" w:hAnsi="Marianne" w:cs="Arial"/>
      <w:i/>
      <w:iCs/>
      <w:sz w:val="40"/>
      <w:szCs w:val="40"/>
    </w:rPr>
  </w:style>
  <w:style w:type="character" w:styleId="ListLabel5">
    <w:name w:val="ListLabel 5"/>
    <w:qFormat/>
    <w:rPr>
      <w:rFonts w:ascii="Marianne" w:hAnsi="Marianne" w:cs="Arial"/>
      <w:i/>
      <w:iCs/>
      <w:sz w:val="40"/>
      <w:szCs w:val="40"/>
    </w:rPr>
  </w:style>
  <w:style w:type="character" w:styleId="ListLabel6">
    <w:name w:val="ListLabel 6"/>
    <w:qFormat/>
    <w:rPr>
      <w:rFonts w:ascii="Marianne" w:hAnsi="Marianne" w:cs="Arial"/>
      <w:i/>
      <w:iCs/>
      <w:color w:val="00A65D"/>
      <w:sz w:val="22"/>
      <w:szCs w:val="22"/>
    </w:rPr>
  </w:style>
  <w:style w:type="character" w:styleId="ListLabel7">
    <w:name w:val="ListLabel 7"/>
    <w:qFormat/>
    <w:rPr>
      <w:rFonts w:ascii="Marianne" w:hAnsi="Marianne" w:cs="Arial"/>
      <w:i/>
      <w:iCs/>
      <w:color w:val="00A65D"/>
      <w:sz w:val="22"/>
      <w:szCs w:val="22"/>
    </w:rPr>
  </w:style>
  <w:style w:type="character" w:styleId="ListLabel8">
    <w:name w:val="ListLabel 8"/>
    <w:qFormat/>
    <w:rPr>
      <w:rFonts w:ascii="Marianne" w:hAnsi="Marianne" w:cs="Arial"/>
      <w:i/>
      <w:iCs/>
      <w:color w:val="00A65D"/>
      <w:sz w:val="22"/>
      <w:szCs w:val="22"/>
    </w:rPr>
  </w:style>
  <w:style w:type="character" w:styleId="ListLabel9">
    <w:name w:val="ListLabel 9"/>
    <w:qFormat/>
    <w:rPr>
      <w:rFonts w:ascii="Marianne" w:hAnsi="Marianne" w:cs="Arial"/>
      <w:i/>
      <w:iCs/>
      <w:color w:val="00A65D"/>
      <w:sz w:val="22"/>
      <w:szCs w:val="22"/>
    </w:rPr>
  </w:style>
  <w:style w:type="character" w:styleId="Textesource">
    <w:name w:val="Texte source"/>
    <w:qFormat/>
    <w:rPr>
      <w:rFonts w:ascii="Liberation Mono" w:hAnsi="Liberation Mono" w:eastAsia="Liberation Mono" w:cs="Liberation Mono"/>
    </w:rPr>
  </w:style>
  <w:style w:type="character" w:styleId="ListLabel10">
    <w:name w:val="ListLabel 10"/>
    <w:qFormat/>
    <w:rPr>
      <w:rFonts w:ascii="Marianne" w:hAnsi="Marianne" w:cs="Arial"/>
      <w:i/>
      <w:iCs/>
      <w:color w:val="00A65D"/>
      <w:sz w:val="22"/>
      <w:szCs w:val="22"/>
    </w:rPr>
  </w:style>
  <w:style w:type="character" w:styleId="ListLabel11">
    <w:name w:val="ListLabel 11"/>
    <w:qFormat/>
    <w:rPr>
      <w:rFonts w:ascii="Marianne" w:hAnsi="Marianne" w:cs="Marianne"/>
      <w:color w:val="00A65D"/>
      <w:sz w:val="40"/>
      <w:szCs w:val="40"/>
      <w:u w:val="single"/>
    </w:rPr>
  </w:style>
  <w:style w:type="character" w:styleId="Sautdindex">
    <w:name w:val="Saut d'index"/>
    <w:qFormat/>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Titreprincipal">
    <w:name w:val="Title"/>
    <w:basedOn w:val="Normal"/>
    <w:qFormat/>
    <w:pPr>
      <w:keepNext w:val="true"/>
      <w:spacing w:before="240" w:after="120"/>
    </w:pPr>
    <w:rPr>
      <w:rFonts w:ascii="Liberation Sans" w:hAnsi="Liberation Sans" w:eastAsia="Noto Sans CJK SC Regular"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Entte">
    <w:name w:val="Header"/>
    <w:basedOn w:val="Normal"/>
    <w:uiPriority w:val="99"/>
    <w:unhideWhenUsed/>
    <w:rsid w:val="001a3e83"/>
    <w:pPr>
      <w:tabs>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1a3e83"/>
    <w:pPr>
      <w:tabs>
        <w:tab w:val="center" w:pos="4536" w:leader="none"/>
        <w:tab w:val="right" w:pos="9072" w:leader="none"/>
      </w:tabs>
      <w:spacing w:lineRule="auto" w:line="240" w:before="0" w:after="0"/>
    </w:pPr>
    <w:rPr/>
  </w:style>
  <w:style w:type="paragraph" w:styleId="HTMLPreformatted">
    <w:name w:val="HTML Preformatted"/>
    <w:basedOn w:val="Normal"/>
    <w:link w:val="PrformatHTMLCar"/>
    <w:uiPriority w:val="99"/>
    <w:semiHidden/>
    <w:unhideWhenUsed/>
    <w:qFormat/>
    <w:rsid w:val="00d204ab"/>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fr-FR"/>
    </w:rPr>
  </w:style>
  <w:style w:type="paragraph" w:styleId="Obsahtabulky" w:customStyle="1">
    <w:name w:val="Obsah tabulky"/>
    <w:basedOn w:val="Normal"/>
    <w:qFormat/>
    <w:pPr>
      <w:suppressLineNumbers/>
    </w:pPr>
    <w:rPr/>
  </w:style>
  <w:style w:type="paragraph" w:styleId="Contenudetableau" w:customStyle="1">
    <w:name w:val="Contenu de tableau"/>
    <w:basedOn w:val="Normal"/>
    <w:qFormat/>
    <w:pPr>
      <w:suppressLineNumbers/>
    </w:pPr>
    <w:rPr/>
  </w:style>
  <w:style w:type="paragraph" w:styleId="Toaheading">
    <w:name w:val="toa heading"/>
    <w:basedOn w:val="Titreprincipal"/>
    <w:qFormat/>
    <w:pPr>
      <w:suppressLineNumbers/>
    </w:pPr>
    <w:rPr>
      <w:b/>
      <w:bCs/>
      <w:sz w:val="32"/>
      <w:szCs w:val="32"/>
    </w:rPr>
  </w:style>
  <w:style w:type="paragraph" w:styleId="TOCHeading">
    <w:name w:val="TOC Heading"/>
    <w:basedOn w:val="Titre1"/>
    <w:next w:val="Normal"/>
    <w:uiPriority w:val="39"/>
    <w:unhideWhenUsed/>
    <w:qFormat/>
    <w:rsid w:val="00426df4"/>
    <w:pPr/>
    <w:rPr>
      <w:lang w:eastAsia="fr-FR"/>
    </w:rPr>
  </w:style>
  <w:style w:type="paragraph" w:styleId="Customstyle">
    <w:name w:val="Custom_style"/>
    <w:qFormat/>
    <w:pPr>
      <w:widowControl/>
      <w:bidi w:val="0"/>
      <w:jc w:val="left"/>
    </w:pPr>
    <w:rPr>
      <w:rFonts w:ascii="Calibri" w:hAnsi="Calibri" w:eastAsia="Calibri" w:cs="" w:asciiTheme="minorHAnsi" w:cstheme="minorBidi" w:eastAsiaTheme="minorHAnsi" w:hAnsiTheme="minorHAnsi"/>
      <w:color w:val="auto"/>
      <w:kern w:val="0"/>
      <w:sz w:val="4"/>
      <w:szCs w:val="22"/>
      <w:lang w:val="fr-FR" w:eastAsia="en-US" w:bidi="ar-SA"/>
    </w:rPr>
  </w:style>
  <w:style w:type="paragraph" w:styleId="03textecourant">
    <w:name w:val="03_texte-courant"/>
    <w:basedOn w:val="Normal"/>
    <w:qFormat/>
    <w:pPr>
      <w:widowControl w:val="false"/>
      <w:spacing w:lineRule="exact" w:line="260" w:before="120" w:after="80"/>
      <w:jc w:val="both"/>
    </w:pPr>
    <w:rPr>
      <w:rFonts w:ascii="Arial" w:hAnsi="Arial" w:eastAsia="Calibri" w:cs="Arial" w:eastAsiaTheme="minorHAnsi"/>
      <w:bCs/>
      <w:color w:val="000000" w:themeColor="text1"/>
      <w:sz w:val="20"/>
      <w:szCs w:val="20"/>
    </w:rPr>
  </w:style>
  <w:style w:type="paragraph" w:styleId="Contenudecadre">
    <w:name w:val="Contenu de cadre"/>
    <w:basedOn w:val="Normal"/>
    <w:qFormat/>
    <w:pPr/>
    <w:rPr/>
  </w:style>
  <w:style w:type="paragraph" w:styleId="Customstyle2" w:customStyle="1">
    <w:name w:val="Custom_style2"/>
    <w:qFormat/>
    <w:pPr>
      <w:widowControl/>
      <w:bidi w:val="0"/>
      <w:jc w:val="left"/>
    </w:pPr>
    <w:rPr>
      <w:rFonts w:ascii="Calibri" w:hAnsi="Calibri" w:eastAsia="Calibri" w:cs="" w:asciiTheme="minorHAnsi" w:cstheme="minorBidi" w:eastAsiaTheme="minorHAnsi" w:hAnsiTheme="minorHAnsi"/>
      <w:color w:val="auto"/>
      <w:kern w:val="0"/>
      <w:sz w:val="4"/>
      <w:szCs w:val="22"/>
      <w:lang w:val="fr-FR" w:eastAsia="en-US" w:bidi="ar-SA"/>
    </w:rPr>
  </w:style>
  <w:style w:type="paragraph" w:styleId="Tabledesmatiresniveau2">
    <w:name w:val="TOC 2"/>
    <w:basedOn w:val="Index"/>
    <w:pPr>
      <w:tabs>
        <w:tab w:val="right" w:pos="9073" w:leader="dot"/>
      </w:tabs>
      <w:ind w:left="283" w:hanging="0"/>
    </w:pPr>
    <w:rPr/>
  </w:style>
  <w:style w:type="paragraph" w:styleId="Tabledesmatiresniveau3">
    <w:name w:val="TOC 3"/>
    <w:basedOn w:val="Index"/>
    <w:pPr>
      <w:tabs>
        <w:tab w:val="right" w:pos="8790" w:leader="dot"/>
      </w:tabs>
      <w:ind w:left="566" w:hanging="0"/>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rsid w:val="00d204a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ouvernement.fr/portraits-de-la-relance" TargetMode="External"/><Relationship Id="rId3" Type="http://schemas.openxmlformats.org/officeDocument/2006/relationships/hyperlink" Target="https://www.economie.gouv.fr/plan-de-relance/profils/entreprises/bonus-ecologique" TargetMode="External"/><Relationship Id="rId4" Type="http://schemas.openxmlformats.org/officeDocument/2006/relationships/hyperlink" Target="https://www.economie.gouv.fr/plan-de-relance/profils/particuliers/maprimerenov" TargetMode="External"/><Relationship Id="rId5" Type="http://schemas.openxmlformats.org/officeDocument/2006/relationships/hyperlink" Target="https://www.entreprises.gouv.fr/fr/actualites/industrie/fonds-de-soutien-aux-filieres-automobile-et-aeronautique-205-nouveaux-laureats" TargetMode="External"/><Relationship Id="rId6" Type="http://schemas.openxmlformats.org/officeDocument/2006/relationships/hyperlink" Target="https://www.economie.gouv.fr/plan-de-relance/profils/entreprises/prime-conversion-soutien-aquisition-agro-equipements" TargetMode="External"/><Relationship Id="rId7" Type="http://schemas.openxmlformats.org/officeDocument/2006/relationships/hyperlink" Target="https://www.ecologie.gouv.fr/france-relance-bonus-ecologique-et-prime-conversion" TargetMode="External"/><Relationship Id="rId8" Type="http://schemas.openxmlformats.org/officeDocument/2006/relationships/hyperlink" Target="https://www.economie.gouv.fr/plan-de-relance/profils/entreprises/fonds-recyclage-friches" TargetMode="External"/><Relationship Id="rId9" Type="http://schemas.openxmlformats.org/officeDocument/2006/relationships/hyperlink" Target="https://www.economie.gouv.fr/plan-de-relance/profils/administrations/renovation-energetique-batiments-publics" TargetMode="External"/><Relationship Id="rId10" Type="http://schemas.openxmlformats.org/officeDocument/2006/relationships/hyperlink" Target="https://www.entreprises.gouv.fr/fr/industrie/politique-industrielle/territoires-d-industrie" TargetMode="External"/><Relationship Id="rId11" Type="http://schemas.openxmlformats.org/officeDocument/2006/relationships/hyperlink" Target="https://www.bpifrance.fr/A-la-une/Appels-a-projets-concours/Appel-a-projets-Plan-de-relance-pour-l-industrie-Secteurs-strategiques-volet-national-50697" TargetMode="External"/><Relationship Id="rId12" Type="http://schemas.openxmlformats.org/officeDocument/2006/relationships/hyperlink" Target="https://www.economie.gouv.fr/plan-de-relance/profils/entreprises/aides-francenum-transformation-numerique" TargetMode="External"/><Relationship Id="rId13" Type="http://schemas.openxmlformats.org/officeDocument/2006/relationships/hyperlink" Target="https://www.economie.gouv.fr/plan-de-relance/profils/entreprises/aide-investissement-industrie-du-futur" TargetMode="External"/><Relationship Id="rId14" Type="http://schemas.openxmlformats.org/officeDocument/2006/relationships/hyperlink" Target="https://www.economie.gouv.fr/files/files/directions_services/plan-de-relance/Guide-mesures-relance-exportations.pdf" TargetMode="External"/><Relationship Id="rId15" Type="http://schemas.openxmlformats.org/officeDocument/2006/relationships/hyperlink" Target="https://www.economie.gouv.fr/files/files/directions_services/plan-de-relance/Guide-mesures-relance-exportations.pdf" TargetMode="External"/><Relationship Id="rId16" Type="http://schemas.openxmlformats.org/officeDocument/2006/relationships/hyperlink" Target="https://travail-emploi.gouv.fr/demarches-ressources-documentaires/documentation-et-publications-officielles/guides/article/plan-de-relance-de-l-apprentissage-guide-pratique-pour-les-entreprises" TargetMode="External"/><Relationship Id="rId17" Type="http://schemas.openxmlformats.org/officeDocument/2006/relationships/hyperlink" Target="https://www.economie.gouv.fr/plan-de-relance/profils/entreprises/aide-embauche-jeune-contrat-initiative-emploi-cie" TargetMode="External"/><Relationship Id="rId18" Type="http://schemas.openxmlformats.org/officeDocument/2006/relationships/hyperlink" Target="https://travail-emploi.gouv.fr/formation-professionnelle/entreprise-et-alternance/aide-exceptionnelle-contrat-pro" TargetMode="External"/><Relationship Id="rId19" Type="http://schemas.openxmlformats.org/officeDocument/2006/relationships/hyperlink" Target="https://travail-emploi.gouv.fr/emploi/mesures-jeunes/garantiejeunes/" TargetMode="External"/><Relationship Id="rId20" Type="http://schemas.openxmlformats.org/officeDocument/2006/relationships/hyperlink" Target="https://www.economie.gouv.fr/plan-de-relance/insertion-personnes-eloignees-emploi-pec" TargetMode="External"/><Relationship Id="rId21" Type="http://schemas.openxmlformats.org/officeDocument/2006/relationships/hyperlink" Target="https://www.economie.gouv.fr/plan-de-relance/profils/entreprises/aide-embauche-jeunes" TargetMode="External"/><Relationship Id="rId22" Type="http://schemas.openxmlformats.org/officeDocument/2006/relationships/hyperlink" Target="https://www.economie.gouv.fr/entreprises/aide-mobilisation-employeurs-embauche-travailleurs-handicapes-plan-relance" TargetMode="External"/><Relationship Id="rId23" Type="http://schemas.openxmlformats.org/officeDocument/2006/relationships/hyperlink" Target="https://www.economie.gouv.fr/plan-de-relance/profils/administrations/financement-nouvelles-missions-service-civique" TargetMode="External"/><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Relationship Id="rId3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C9EF70-8E7F-46FE-AFAB-A76514AA6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Application>LibreOffice/6.0.7.3$Linux_X86_64 LibreOffice_project/00m0$Build-3</Application>
  <Pages>26</Pages>
  <Words>3082</Words>
  <Characters>15149</Characters>
  <CharactersWithSpaces>18493</CharactersWithSpaces>
  <Paragraphs>693</Paragraphs>
  <Company>Secrétariat Général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2021-04-02T09:48:00Z</dcterms:created>
  <dc:creator>Yves TRAN</dc:creator>
  <dc:description/>
  <dc:language>fr-FR</dc:language>
  <cp:lastModifiedBy/>
  <dcterms:modified xsi:type="dcterms:W3CDTF">2021-07-12T18:30:08Z</dcterms:modified>
  <cp:revision>49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Secrétariat Général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