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Lot-et-Garonne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0760" cy="7344410"/>
                <wp:effectExtent l="0" t="0" r="0" b="0"/>
                <wp:wrapNone/>
                <wp:docPr id="1" name="Forme1"/>
                <a:graphic xmlns:a="http://schemas.openxmlformats.org/drawingml/2006/main">
                  <a:graphicData uri="http://schemas.microsoft.com/office/word/2010/wordprocessingShape">
                    <wps:wsp>
                      <wps:cNvSpPr/>
                      <wps:spPr>
                        <a:xfrm>
                          <a:off x="0" y="0"/>
                          <a:ext cx="6080040" cy="734364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b/>
                                <w:b/>
                                <w:bCs/>
                              </w:rPr>
                            </w:pPr>
                            <w:r>
                              <w:rPr>
                                <w:b/>
                                <w:bCs/>
                              </w:rPr>
                              <w:t>Le volet « Écologie » du plan de relance trouve sa déclinaison dans le Lot-et-Garonne au travers de nombreuses mesures et et de la mise en place de dispositifs par des appels à projets (AAP) ou des appels à manifestation d’intérêt (AMI).</w:t>
                            </w:r>
                          </w:p>
                          <w:p>
                            <w:pPr>
                              <w:pStyle w:val="Contenudecadre"/>
                              <w:overflowPunct w:val="true"/>
                              <w:spacing w:lineRule="auto" w:line="240" w:before="0" w:after="0"/>
                              <w:rPr/>
                            </w:pPr>
                            <w:r>
                              <w:rPr/>
                            </w:r>
                          </w:p>
                          <w:p>
                            <w:pPr>
                              <w:pStyle w:val="Contenudecadre"/>
                              <w:overflowPunct w:val="true"/>
                              <w:spacing w:lineRule="auto" w:line="240" w:before="0" w:after="0"/>
                              <w:rPr>
                                <w:b/>
                                <w:b/>
                                <w:bCs/>
                              </w:rPr>
                            </w:pPr>
                            <w:r>
                              <w:rPr>
                                <w:b/>
                                <w:bCs/>
                              </w:rPr>
                            </w:r>
                          </w:p>
                          <w:p>
                            <w:pPr>
                              <w:pStyle w:val="Contenudecadre"/>
                              <w:overflowPunct w:val="true"/>
                              <w:spacing w:lineRule="auto" w:line="240" w:before="0" w:after="0"/>
                              <w:jc w:val="both"/>
                              <w:rPr>
                                <w:b/>
                                <w:b/>
                                <w:bCs/>
                              </w:rPr>
                            </w:pPr>
                            <w:r>
                              <w:rPr>
                                <w:b/>
                                <w:bCs/>
                              </w:rPr>
                              <w:t>Cette première priorité du plan de relance, à laquelle sont consacrés 30 milliards d’euros sur les 100 milliards, a pour objectif d’accélérer la conversion écologique de l’économie française.</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Cela consiste en des mesures phares qui peuvent concerner :</w:t>
                            </w:r>
                          </w:p>
                          <w:p>
                            <w:pPr>
                              <w:pStyle w:val="Contenudecadre"/>
                              <w:overflowPunct w:val="true"/>
                              <w:spacing w:lineRule="auto" w:line="240" w:before="0" w:after="0"/>
                              <w:jc w:val="both"/>
                              <w:rPr>
                                <w:b/>
                                <w:b/>
                                <w:bCs/>
                              </w:rPr>
                            </w:pPr>
                            <w:r>
                              <w:rPr>
                                <w:b/>
                                <w:bCs/>
                              </w:rPr>
                              <w:t>- les services de l’État, des collectivités locales, ou d’opérateurs comme les bailleurs sociaux,</w:t>
                            </w:r>
                          </w:p>
                          <w:p>
                            <w:pPr>
                              <w:pStyle w:val="Contenudecadre"/>
                              <w:overflowPunct w:val="true"/>
                              <w:spacing w:lineRule="auto" w:line="240" w:before="0" w:after="0"/>
                              <w:jc w:val="both"/>
                              <w:rPr>
                                <w:b/>
                                <w:b/>
                                <w:bCs/>
                              </w:rPr>
                            </w:pPr>
                            <w:r>
                              <w:rPr>
                                <w:b/>
                                <w:bCs/>
                              </w:rPr>
                              <w:t xml:space="preserve">avec des travaux relatifs à la rénovation thermique des bâtiments, </w:t>
                            </w:r>
                          </w:p>
                          <w:p>
                            <w:pPr>
                              <w:pStyle w:val="Contenudecadre"/>
                              <w:overflowPunct w:val="true"/>
                              <w:spacing w:lineRule="auto" w:line="240" w:before="0" w:after="0"/>
                              <w:jc w:val="both"/>
                              <w:rPr>
                                <w:b/>
                                <w:b/>
                                <w:bCs/>
                              </w:rPr>
                            </w:pPr>
                            <w:r>
                              <w:rPr>
                                <w:b/>
                                <w:bCs/>
                              </w:rPr>
                              <w:t>- les entreprises, avec la décarbonation de l’industrie,</w:t>
                            </w:r>
                          </w:p>
                          <w:p>
                            <w:pPr>
                              <w:pStyle w:val="Contenudecadre"/>
                              <w:overflowPunct w:val="true"/>
                              <w:spacing w:lineRule="auto" w:line="240" w:before="0" w:after="0"/>
                              <w:jc w:val="both"/>
                              <w:rPr>
                                <w:b/>
                                <w:b/>
                                <w:bCs/>
                              </w:rPr>
                            </w:pPr>
                            <w:r>
                              <w:rPr>
                                <w:b/>
                                <w:bCs/>
                              </w:rPr>
                              <w:t>- ou les particuliers, concernés par des dispositifs comme « Ma Prime Rénov’ », ou la mobilité verte (bonus électrique, primes à la conversion).</w:t>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578.2pt">
                <w10:wrap type="square"/>
                <v:fill o:detectmouseclick="t" on="false"/>
                <v:stroke color="black" joinstyle="round" endcap="flat"/>
                <v:textbo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b/>
                          <w:b/>
                          <w:bCs/>
                        </w:rPr>
                      </w:pPr>
                      <w:r>
                        <w:rPr>
                          <w:b/>
                          <w:bCs/>
                        </w:rPr>
                        <w:t>Le volet « Écologie » du plan de relance trouve sa déclinaison dans le Lot-et-Garonne au travers de nombreuses mesures et et de la mise en place de dispositifs par des appels à projets (AAP) ou des appels à manifestation d’intérêt (AMI).</w:t>
                      </w:r>
                    </w:p>
                    <w:p>
                      <w:pPr>
                        <w:pStyle w:val="Contenudecadre"/>
                        <w:overflowPunct w:val="true"/>
                        <w:spacing w:lineRule="auto" w:line="240" w:before="0" w:after="0"/>
                        <w:rPr/>
                      </w:pPr>
                      <w:r>
                        <w:rPr/>
                      </w:r>
                    </w:p>
                    <w:p>
                      <w:pPr>
                        <w:pStyle w:val="Contenudecadre"/>
                        <w:overflowPunct w:val="true"/>
                        <w:spacing w:lineRule="auto" w:line="240" w:before="0" w:after="0"/>
                        <w:rPr>
                          <w:b/>
                          <w:b/>
                          <w:bCs/>
                        </w:rPr>
                      </w:pPr>
                      <w:r>
                        <w:rPr>
                          <w:b/>
                          <w:bCs/>
                        </w:rPr>
                      </w:r>
                    </w:p>
                    <w:p>
                      <w:pPr>
                        <w:pStyle w:val="Contenudecadre"/>
                        <w:overflowPunct w:val="true"/>
                        <w:spacing w:lineRule="auto" w:line="240" w:before="0" w:after="0"/>
                        <w:jc w:val="both"/>
                        <w:rPr>
                          <w:b/>
                          <w:b/>
                          <w:bCs/>
                        </w:rPr>
                      </w:pPr>
                      <w:r>
                        <w:rPr>
                          <w:b/>
                          <w:bCs/>
                        </w:rPr>
                        <w:t>Cette première priorité du plan de relance, à laquelle sont consacrés 30 milliards d’euros sur les 100 milliards, a pour objectif d’accélérer la conversion écologique de l’économie française.</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Cela consiste en des mesures phares qui peuvent concerner :</w:t>
                      </w:r>
                    </w:p>
                    <w:p>
                      <w:pPr>
                        <w:pStyle w:val="Contenudecadre"/>
                        <w:overflowPunct w:val="true"/>
                        <w:spacing w:lineRule="auto" w:line="240" w:before="0" w:after="0"/>
                        <w:jc w:val="both"/>
                        <w:rPr>
                          <w:b/>
                          <w:b/>
                          <w:bCs/>
                        </w:rPr>
                      </w:pPr>
                      <w:r>
                        <w:rPr>
                          <w:b/>
                          <w:bCs/>
                        </w:rPr>
                        <w:t>- les services de l’État, des collectivités locales, ou d’opérateurs comme les bailleurs sociaux,</w:t>
                      </w:r>
                    </w:p>
                    <w:p>
                      <w:pPr>
                        <w:pStyle w:val="Contenudecadre"/>
                        <w:overflowPunct w:val="true"/>
                        <w:spacing w:lineRule="auto" w:line="240" w:before="0" w:after="0"/>
                        <w:jc w:val="both"/>
                        <w:rPr>
                          <w:b/>
                          <w:b/>
                          <w:bCs/>
                        </w:rPr>
                      </w:pPr>
                      <w:r>
                        <w:rPr>
                          <w:b/>
                          <w:bCs/>
                        </w:rPr>
                        <w:t xml:space="preserve">avec des travaux relatifs à la rénovation thermique des bâtiments, </w:t>
                      </w:r>
                    </w:p>
                    <w:p>
                      <w:pPr>
                        <w:pStyle w:val="Contenudecadre"/>
                        <w:overflowPunct w:val="true"/>
                        <w:spacing w:lineRule="auto" w:line="240" w:before="0" w:after="0"/>
                        <w:jc w:val="both"/>
                        <w:rPr>
                          <w:b/>
                          <w:b/>
                          <w:bCs/>
                        </w:rPr>
                      </w:pPr>
                      <w:r>
                        <w:rPr>
                          <w:b/>
                          <w:bCs/>
                        </w:rPr>
                        <w:t>- les entreprises, avec la décarbonation de l’industrie,</w:t>
                      </w:r>
                    </w:p>
                    <w:p>
                      <w:pPr>
                        <w:pStyle w:val="Contenudecadre"/>
                        <w:overflowPunct w:val="true"/>
                        <w:spacing w:lineRule="auto" w:line="240" w:before="0" w:after="0"/>
                        <w:jc w:val="both"/>
                        <w:rPr>
                          <w:b/>
                          <w:b/>
                          <w:bCs/>
                        </w:rPr>
                      </w:pPr>
                      <w:r>
                        <w:rPr>
                          <w:b/>
                          <w:bCs/>
                        </w:rPr>
                        <w:t>- ou les particuliers, concernés par des dispositifs comme « Ma Prime Rénov’ », ou la mobilité verte (bonus électrique, primes à la conversion).</w:t>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7925" cy="139065"/>
                <wp:effectExtent l="0" t="0" r="0" b="0"/>
                <wp:wrapNone/>
                <wp:docPr id="3"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1.4 M€</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1560"/>
        <w:gridCol w:w="2657"/>
        <w:gridCol w:w="1435"/>
        <w:gridCol w:w="1882"/>
        <w:gridCol w:w="1883"/>
      </w:tblGrid>
      <w:tr>
        <w:trPr>
          <w:trHeight w:val="400" w:hRule="atLeast"/>
        </w:trPr>
        <w:tc>
          <w:tcPr>
            <w:tcW w:w="9417" w:type="dxa"/>
            <w:gridSpan w:val="5"/>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5"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Nouvelle-Aquitaine</w:t>
            </w:r>
          </w:p>
        </w:tc>
      </w:tr>
      <w:tr>
        <w:trPr>
          <w:trHeight w:val="450" w:hRule="atLeast"/>
        </w:trPr>
        <w:tc>
          <w:tcPr>
            <w:tcW w:w="1560"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 M€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121.2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12961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6261  </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 M€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74.2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7852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3249  </w:t>
            </w:r>
          </w:p>
        </w:tc>
      </w:tr>
      <w:tr>
        <w:trPr>
          <w:trHeight w:val="545"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M€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35.0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1259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1560"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M€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9.0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928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476  </w:t>
            </w:r>
          </w:p>
        </w:tc>
      </w:tr>
      <w:tr>
        <w:trPr>
          <w:trHeight w:val="617"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727.7 k€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549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240  </w:t>
            </w:r>
          </w:p>
        </w:tc>
      </w:tr>
      <w:tr>
        <w:trPr>
          <w:trHeight w:val="617" w:hRule="atLeast"/>
        </w:trPr>
        <w:tc>
          <w:tcPr>
            <w:tcW w:w="156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325.4 k€  </w:t>
            </w:r>
          </w:p>
        </w:tc>
        <w:tc>
          <w:tcPr>
            <w:tcW w:w="1426"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M€  </w:t>
            </w:r>
          </w:p>
        </w:tc>
        <w:tc>
          <w:tcPr>
            <w:tcW w:w="188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93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350" cy="2426335"/>
                <wp:effectExtent l="0" t="0" r="0" b="0"/>
                <wp:wrapNone/>
                <wp:docPr id="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9515" cy="139065"/>
                <wp:effectExtent l="0" t="0" r="0" b="0"/>
                <wp:wrapNone/>
                <wp:docPr id="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350" cy="2652395"/>
                <wp:effectExtent l="0" t="0" r="0" b="0"/>
                <wp:wrapNone/>
                <wp:docPr id="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Arial" w:hAnsi="Arial" w:eastAsia="Calibri" w:cs="" w:cstheme="minorBidi" w:eastAsiaTheme="minorHAnsi"/>
                                <w:b/>
                                <w:b/>
                                <w:bCs/>
                                <w:color w:val="00000A"/>
                                <w:sz w:val="22"/>
                                <w:szCs w:val="22"/>
                              </w:rPr>
                            </w:pPr>
                            <w:r>
                              <w:rPr>
                                <w:rFonts w:eastAsia="Calibri" w:cs="" w:cstheme="minorBidi" w:eastAsiaTheme="minorHAnsi" w:ascii="Arial" w:hAnsi="Arial"/>
                                <w:b/>
                                <w:bCs/>
                                <w:color w:val="00000A"/>
                                <w:sz w:val="22"/>
                                <w:szCs w:val="22"/>
                              </w:rPr>
                            </w:r>
                          </w:p>
                          <w:p>
                            <w:pPr>
                              <w:pStyle w:val="03textecourant"/>
                              <w:overflowPunct w:val="true"/>
                              <w:spacing w:lineRule="auto" w:line="240" w:before="0" w:after="0"/>
                              <w:rPr>
                                <w:rFonts w:ascii="Arial" w:hAnsi="Arial" w:eastAsia="Calibri" w:cs="" w:cstheme="minorBidi" w:eastAsiaTheme="minorHAnsi"/>
                                <w:b/>
                                <w:b/>
                                <w:bCs/>
                                <w:color w:val="00000A"/>
                                <w:sz w:val="22"/>
                                <w:szCs w:val="22"/>
                              </w:rPr>
                            </w:pPr>
                            <w:r>
                              <w:rPr>
                                <w:rFonts w:eastAsia="Calibri" w:cs="" w:cstheme="minorBidi" w:eastAsiaTheme="minorHAnsi"/>
                                <w:b/>
                                <w:bCs/>
                                <w:color w:val="00000A"/>
                                <w:sz w:val="22"/>
                                <w:szCs w:val="22"/>
                              </w:rPr>
                              <w:t>P</w:t>
                            </w:r>
                            <w:r>
                              <w:rPr>
                                <w:rFonts w:eastAsia="Calibri" w:cs="" w:ascii="Calibri" w:hAnsi="Calibri" w:cstheme="minorBidi" w:eastAsiaTheme="minorHAnsi"/>
                                <w:b/>
                                <w:bCs/>
                                <w:color w:val="00000A"/>
                                <w:sz w:val="22"/>
                                <w:szCs w:val="22"/>
                              </w:rPr>
                              <w:t xml:space="preserve">our mémoire, en 2020, ce sont </w:t>
                            </w:r>
                            <w:r>
                              <w:rPr>
                                <w:rFonts w:eastAsia="Calibri" w:cs="Times New Roman" w:ascii="Calibri" w:hAnsi="Calibri" w:eastAsiaTheme="minorHAnsi"/>
                                <w:b/>
                                <w:bCs/>
                                <w:color w:val="00000A"/>
                                <w:sz w:val="22"/>
                                <w:szCs w:val="22"/>
                                <w:u w:val="none"/>
                              </w:rPr>
                              <w:t>1369 p</w:t>
                            </w:r>
                            <w:r>
                              <w:rPr>
                                <w:rFonts w:eastAsia="Calibri" w:cs="" w:ascii="Calibri" w:hAnsi="Calibri" w:cstheme="minorBidi" w:eastAsiaTheme="minorHAnsi"/>
                                <w:b/>
                                <w:bCs/>
                                <w:color w:val="00000A"/>
                                <w:sz w:val="22"/>
                                <w:szCs w:val="22"/>
                                <w:u w:val="none"/>
                              </w:rPr>
                              <w:t>articuliers, en Lot-et-Garonne,</w:t>
                            </w:r>
                            <w:r>
                              <w:rPr>
                                <w:rFonts w:eastAsia="Calibri" w:cs="" w:ascii="Calibri" w:hAnsi="Calibri" w:cstheme="minorBidi" w:eastAsiaTheme="minorHAnsi"/>
                                <w:b/>
                                <w:bCs/>
                                <w:color w:val="00000A"/>
                                <w:sz w:val="22"/>
                                <w:szCs w:val="22"/>
                              </w:rPr>
                              <w:t xml:space="preserve"> qui se sont saisis de Ma Prime Rénov pour réaliser 11,9 M€ de travaux afin de </w:t>
                            </w:r>
                            <w:r>
                              <w:rPr>
                                <w:rFonts w:eastAsia="Calibri" w:cs="" w:ascii="Calibri" w:hAnsi="Calibri" w:cstheme="minorBidi" w:eastAsiaTheme="minorHAnsi"/>
                                <w:b/>
                                <w:bCs/>
                                <w:color w:val="000000"/>
                                <w:sz w:val="22"/>
                                <w:szCs w:val="22"/>
                              </w:rPr>
                              <w:t>réduire l’empreinte carbone de leur logement,</w:t>
                            </w:r>
                            <w:r>
                              <w:rPr>
                                <w:rFonts w:eastAsia="Calibri" w:cs="" w:ascii="Calibri" w:hAnsi="Calibri" w:cstheme="minorBidi" w:eastAsiaTheme="minorHAnsi"/>
                                <w:b/>
                                <w:bCs/>
                                <w:color w:val="00000A"/>
                                <w:sz w:val="22"/>
                                <w:szCs w:val="22"/>
                              </w:rPr>
                              <w:t xml:space="preserve"> dont 3,9 M€ d’aides de l’Etat. </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cstheme="minorBidi" w:eastAsiaTheme="minorHAnsi" w:ascii="Calibri" w:hAnsi="Calibri"/>
                                <w:b/>
                                <w:bCs/>
                                <w:color w:val="00000A"/>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Pour les 3 premiers mois de l’année 2021 :</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le nombre de bénéficiaires est déjà de 928 particuliers,</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pour un montant global de travaux de 9 M€,</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leur permettant de bénéficier de près de 1,4 M€ d’aides.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Arial" w:hAnsi="Arial" w:eastAsia="Calibri" w:cs="" w:cstheme="minorBidi" w:eastAsiaTheme="minorHAnsi"/>
                          <w:b/>
                          <w:b/>
                          <w:bCs/>
                          <w:color w:val="00000A"/>
                          <w:sz w:val="22"/>
                          <w:szCs w:val="22"/>
                        </w:rPr>
                      </w:pPr>
                      <w:r>
                        <w:rPr>
                          <w:rFonts w:eastAsia="Calibri" w:cs="" w:cstheme="minorBidi" w:eastAsiaTheme="minorHAnsi" w:ascii="Arial" w:hAnsi="Arial"/>
                          <w:b/>
                          <w:bCs/>
                          <w:color w:val="00000A"/>
                          <w:sz w:val="22"/>
                          <w:szCs w:val="22"/>
                        </w:rPr>
                      </w:r>
                    </w:p>
                    <w:p>
                      <w:pPr>
                        <w:pStyle w:val="03textecourant"/>
                        <w:overflowPunct w:val="true"/>
                        <w:spacing w:lineRule="auto" w:line="240" w:before="0" w:after="0"/>
                        <w:rPr>
                          <w:rFonts w:ascii="Arial" w:hAnsi="Arial" w:eastAsia="Calibri" w:cs="" w:cstheme="minorBidi" w:eastAsiaTheme="minorHAnsi"/>
                          <w:b/>
                          <w:b/>
                          <w:bCs/>
                          <w:color w:val="00000A"/>
                          <w:sz w:val="22"/>
                          <w:szCs w:val="22"/>
                        </w:rPr>
                      </w:pPr>
                      <w:r>
                        <w:rPr>
                          <w:rFonts w:eastAsia="Calibri" w:cs="" w:cstheme="minorBidi" w:eastAsiaTheme="minorHAnsi"/>
                          <w:b/>
                          <w:bCs/>
                          <w:color w:val="00000A"/>
                          <w:sz w:val="22"/>
                          <w:szCs w:val="22"/>
                        </w:rPr>
                        <w:t>P</w:t>
                      </w:r>
                      <w:r>
                        <w:rPr>
                          <w:rFonts w:eastAsia="Calibri" w:cs="" w:ascii="Calibri" w:hAnsi="Calibri" w:cstheme="minorBidi" w:eastAsiaTheme="minorHAnsi"/>
                          <w:b/>
                          <w:bCs/>
                          <w:color w:val="00000A"/>
                          <w:sz w:val="22"/>
                          <w:szCs w:val="22"/>
                        </w:rPr>
                        <w:t xml:space="preserve">our mémoire, en 2020, ce sont </w:t>
                      </w:r>
                      <w:r>
                        <w:rPr>
                          <w:rFonts w:eastAsia="Calibri" w:cs="Times New Roman" w:ascii="Calibri" w:hAnsi="Calibri" w:eastAsiaTheme="minorHAnsi"/>
                          <w:b/>
                          <w:bCs/>
                          <w:color w:val="00000A"/>
                          <w:sz w:val="22"/>
                          <w:szCs w:val="22"/>
                          <w:u w:val="none"/>
                        </w:rPr>
                        <w:t>1369 p</w:t>
                      </w:r>
                      <w:r>
                        <w:rPr>
                          <w:rFonts w:eastAsia="Calibri" w:cs="" w:ascii="Calibri" w:hAnsi="Calibri" w:cstheme="minorBidi" w:eastAsiaTheme="minorHAnsi"/>
                          <w:b/>
                          <w:bCs/>
                          <w:color w:val="00000A"/>
                          <w:sz w:val="22"/>
                          <w:szCs w:val="22"/>
                          <w:u w:val="none"/>
                        </w:rPr>
                        <w:t>articuliers, en Lot-et-Garonne,</w:t>
                      </w:r>
                      <w:r>
                        <w:rPr>
                          <w:rFonts w:eastAsia="Calibri" w:cs="" w:ascii="Calibri" w:hAnsi="Calibri" w:cstheme="minorBidi" w:eastAsiaTheme="minorHAnsi"/>
                          <w:b/>
                          <w:bCs/>
                          <w:color w:val="00000A"/>
                          <w:sz w:val="22"/>
                          <w:szCs w:val="22"/>
                        </w:rPr>
                        <w:t xml:space="preserve"> qui se sont saisis de Ma Prime Rénov pour réaliser 11,9 M€ de travaux afin de </w:t>
                      </w:r>
                      <w:r>
                        <w:rPr>
                          <w:rFonts w:eastAsia="Calibri" w:cs="" w:ascii="Calibri" w:hAnsi="Calibri" w:cstheme="minorBidi" w:eastAsiaTheme="minorHAnsi"/>
                          <w:b/>
                          <w:bCs/>
                          <w:color w:val="000000"/>
                          <w:sz w:val="22"/>
                          <w:szCs w:val="22"/>
                        </w:rPr>
                        <w:t>réduire l’empreinte carbone de leur logement,</w:t>
                      </w:r>
                      <w:r>
                        <w:rPr>
                          <w:rFonts w:eastAsia="Calibri" w:cs="" w:ascii="Calibri" w:hAnsi="Calibri" w:cstheme="minorBidi" w:eastAsiaTheme="minorHAnsi"/>
                          <w:b/>
                          <w:bCs/>
                          <w:color w:val="00000A"/>
                          <w:sz w:val="22"/>
                          <w:szCs w:val="22"/>
                        </w:rPr>
                        <w:t xml:space="preserve"> dont 3,9 M€ d’aides de l’Etat. </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cstheme="minorBidi" w:eastAsiaTheme="minorHAnsi" w:ascii="Calibri" w:hAnsi="Calibri"/>
                          <w:b/>
                          <w:bCs/>
                          <w:color w:val="00000A"/>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Pour les 3 premiers mois de l’année 2021 :</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le nombre de bénéficiaires est déjà de 928 particuliers,</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pour un montant global de travaux de 9 M€,</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ascii="Calibri" w:hAnsi="Calibri" w:cstheme="minorBidi" w:eastAsiaTheme="minorHAnsi"/>
                          <w:b/>
                          <w:bCs/>
                          <w:color w:val="00000A"/>
                          <w:sz w:val="22"/>
                          <w:szCs w:val="22"/>
                        </w:rPr>
                        <w:t>- leur permettant de bénéficier de près de 1,4 M€ d’aides.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611</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11611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9892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8619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611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508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448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350" cy="2426335"/>
                <wp:effectExtent l="0" t="0" r="0" b="0"/>
                <wp:wrapNone/>
                <wp:docPr id="1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9515" cy="139065"/>
                <wp:effectExtent l="0" t="0" r="0" b="0"/>
                <wp:wrapNone/>
                <wp:docPr id="1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5350" cy="2652395"/>
                <wp:effectExtent l="0" t="0" r="0" b="0"/>
                <wp:wrapNone/>
                <wp:docPr id="1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sz w:val="22"/>
                                <w:szCs w:val="22"/>
                              </w:rPr>
                            </w:pPr>
                            <w:r>
                              <w:rPr>
                                <w:rFonts w:eastAsia="Calibri" w:cs="" w:cstheme="minorBidi" w:eastAsiaTheme="minorHAnsi"/>
                                <w:b w:val="false"/>
                                <w:bCs w:val="false"/>
                                <w:color w:val="000000"/>
                                <w:sz w:val="22"/>
                                <w:szCs w:val="22"/>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France Relance a accompagné les lot-et-garonnais dans le verdissement de leur véhicule automobile avec 448 bonus écologiques accordés de  juillet à décembre 2020.</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ascii="Calibri" w:hAnsi="Calibr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Pour les 3 premiers mois de  l’année 2021, 611  bonus écologiques ont déjà été accordés.</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sz w:val="22"/>
                                <w:szCs w:val="22"/>
                              </w:rPr>
                            </w:pPr>
                            <w:r>
                              <w:rPr>
                                <w:rFonts w:eastAsia="Calibri" w:cs="" w:cstheme="minorBidi" w:eastAsiaTheme="minorHAnsi"/>
                                <w:b w:val="false"/>
                                <w:bCs w:val="false"/>
                                <w:color w:val="000000"/>
                                <w:sz w:val="22"/>
                                <w:szCs w:val="22"/>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sz w:val="22"/>
                          <w:szCs w:val="22"/>
                        </w:rPr>
                      </w:pPr>
                      <w:r>
                        <w:rPr>
                          <w:rFonts w:eastAsia="Calibri" w:cs="" w:cstheme="minorBidi" w:eastAsiaTheme="minorHAnsi"/>
                          <w:b w:val="false"/>
                          <w:bCs w:val="false"/>
                          <w:color w:val="000000"/>
                          <w:sz w:val="22"/>
                          <w:szCs w:val="22"/>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France Relance a accompagné les lot-et-garonnais dans le verdissement de leur véhicule automobile avec 448 bonus écologiques accordés de  juillet à décembre 2020.</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ascii="Calibri" w:hAnsi="Calibr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Pour les 3 premiers mois de  l’année 2021, 611  bonus écologiques ont déjà été accordés.</w:t>
                      </w:r>
                    </w:p>
                    <w:p>
                      <w:pPr>
                        <w:pStyle w:val="Contenudecadre"/>
                        <w:overflowPunct w:val="true"/>
                        <w:spacing w:lineRule="auto" w:line="240" w:before="0" w:after="0"/>
                        <w:rPr>
                          <w:rFonts w:ascii="Calibri" w:hAnsi="Calibri" w:eastAsia="Calibri" w:cs="" w:asciiTheme="minorHAnsi" w:cstheme="minorBidi" w:eastAsiaTheme="minorHAnsi" w:hAnsiTheme="minorHAnsi"/>
                          <w:b w:val="false"/>
                          <w:b w:val="false"/>
                          <w:bCs w:val="false"/>
                          <w:color w:val="000000"/>
                          <w:sz w:val="22"/>
                          <w:szCs w:val="22"/>
                        </w:rPr>
                      </w:pPr>
                      <w:r>
                        <w:rPr>
                          <w:rFonts w:eastAsia="Calibri" w:cs="" w:cstheme="minorBidi" w:eastAsiaTheme="minorHAnsi"/>
                          <w:b w:val="false"/>
                          <w:bCs w:val="false"/>
                          <w:color w:val="000000"/>
                          <w:sz w:val="22"/>
                          <w:szCs w:val="22"/>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350" cy="2426335"/>
                <wp:effectExtent l="0" t="0" r="0" b="0"/>
                <wp:wrapNone/>
                <wp:docPr id="1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9515" cy="139065"/>
                <wp:effectExtent l="0" t="0" r="0" b="0"/>
                <wp:wrapNone/>
                <wp:docPr id="1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350" cy="2652395"/>
                <wp:effectExtent l="0" t="0" r="0" b="0"/>
                <wp:wrapNone/>
                <wp:docPr id="1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0</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350" cy="2426335"/>
                <wp:effectExtent l="0" t="0" r="0" b="0"/>
                <wp:wrapNone/>
                <wp:docPr id="2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9515" cy="139065"/>
                <wp:effectExtent l="0" t="0" r="0" b="0"/>
                <wp:wrapNone/>
                <wp:docPr id="2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5350" cy="2652395"/>
                <wp:effectExtent l="0" t="0" r="0" b="0"/>
                <wp:wrapNone/>
                <wp:docPr id="2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cs="" w:cstheme="minorBidi" w:eastAsiaTheme="minorHAnsi"/>
                                <w:b/>
                                <w:bCs/>
                                <w:color w:val="00000A"/>
                              </w:rPr>
                              <w:t>3 dossiers ont été soutenus au titre du plan de relance :</w:t>
                            </w:r>
                          </w:p>
                          <w:p>
                            <w:pPr>
                              <w:pStyle w:val="Contenudecadre"/>
                              <w:overflowPunct w:val="true"/>
                              <w:spacing w:lineRule="auto" w:line="240" w:before="0" w:after="0"/>
                              <w:rPr/>
                            </w:pPr>
                            <w:r>
                              <w:rPr>
                                <w:rFonts w:eastAsia="Calibri" w:cs="" w:cstheme="minorBidi" w:eastAsiaTheme="minorHAnsi"/>
                                <w:b/>
                                <w:bCs/>
                                <w:color w:val="00000A"/>
                              </w:rPr>
                              <w:t>- NEXTEAM à Marmande, qui a déposé 2 projets, pour un montant total d’investissements de 11,2 M€, et qui a obtenu 2 subventions de 800 000€ chacune (soit 1,6 M€),</w:t>
                            </w:r>
                          </w:p>
                          <w:p>
                            <w:pPr>
                              <w:pStyle w:val="Contenudecadre"/>
                              <w:overflowPunct w:val="true"/>
                              <w:spacing w:lineRule="auto" w:line="240" w:before="0" w:after="0"/>
                              <w:rPr/>
                            </w:pPr>
                            <w:r>
                              <w:rPr>
                                <w:rFonts w:eastAsia="Calibri" w:cs="" w:cstheme="minorBidi" w:eastAsiaTheme="minorHAnsi"/>
                                <w:b/>
                                <w:bCs/>
                                <w:color w:val="00000A"/>
                              </w:rPr>
                              <w:t>- MGA à Villeneuve/Lot : qui a obtenu une subvention de 350 000€ pour un investissement de 0,46 €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Fonts w:eastAsia="Calibri" w:cs="" w:cstheme="minorBidi" w:eastAsiaTheme="minorHAnsi"/>
                          <w:b/>
                          <w:bCs/>
                          <w:color w:val="00000A"/>
                        </w:rPr>
                        <w:t>3 dossiers ont été soutenus au titre du plan de relance :</w:t>
                      </w:r>
                    </w:p>
                    <w:p>
                      <w:pPr>
                        <w:pStyle w:val="Contenudecadre"/>
                        <w:overflowPunct w:val="true"/>
                        <w:spacing w:lineRule="auto" w:line="240" w:before="0" w:after="0"/>
                        <w:rPr/>
                      </w:pPr>
                      <w:r>
                        <w:rPr>
                          <w:rFonts w:eastAsia="Calibri" w:cs="" w:cstheme="minorBidi" w:eastAsiaTheme="minorHAnsi"/>
                          <w:b/>
                          <w:bCs/>
                          <w:color w:val="00000A"/>
                        </w:rPr>
                        <w:t>- NEXTEAM à Marmande, qui a déposé 2 projets, pour un montant total d’investissements de 11,2 M€, et qui a obtenu 2 subventions de 800 000€ chacune (soit 1,6 M€),</w:t>
                      </w:r>
                    </w:p>
                    <w:p>
                      <w:pPr>
                        <w:pStyle w:val="Contenudecadre"/>
                        <w:overflowPunct w:val="true"/>
                        <w:spacing w:lineRule="auto" w:line="240" w:before="0" w:after="0"/>
                        <w:rPr/>
                      </w:pPr>
                      <w:r>
                        <w:rPr>
                          <w:rFonts w:eastAsia="Calibri" w:cs="" w:cstheme="minorBidi" w:eastAsiaTheme="minorHAnsi"/>
                          <w:b/>
                          <w:bCs/>
                          <w:color w:val="00000A"/>
                        </w:rPr>
                        <w:t>- MGA à Villeneuve/Lot : qui a obtenu une subvention de 350 000€ pour un investissement de 0,46 €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1198</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18347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17111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16237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1198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1118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1064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350" cy="2426335"/>
                <wp:effectExtent l="0" t="0" r="0" b="0"/>
                <wp:wrapNone/>
                <wp:docPr id="2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9515" cy="139065"/>
                <wp:effectExtent l="0" t="0" r="0" b="0"/>
                <wp:wrapNone/>
                <wp:docPr id="2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350" cy="2652395"/>
                <wp:effectExtent l="0" t="0" r="0" b="0"/>
                <wp:wrapNone/>
                <wp:docPr id="2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France Relance a accompagné les lot-et-garonnais dans le verdissement de leur véhicule automobile avec 1064 primes à la conversion accordées de  juillet à décembre 2020.</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ascii="Calibri" w:hAnsi="Calibr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Pour les 3 premiers mois de l’année 2021, 1198 primes à la conversion ont déjà été accordées.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France Relance a accompagné les lot-et-garonnais dans le verdissement de leur véhicule automobile avec 1064 primes à la conversion accordées de  juillet à décembre 2020.</w:t>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cstheme="minorBidi" w:eastAsiaTheme="minorHAnsi" w:ascii="Calibri" w:hAnsi="Calibri"/>
                          <w:b/>
                          <w:bCs/>
                          <w:color w:val="000000"/>
                          <w:sz w:val="22"/>
                          <w:szCs w:val="22"/>
                        </w:rPr>
                      </w:r>
                    </w:p>
                    <w:p>
                      <w:pPr>
                        <w:pStyle w:val="03textecourant"/>
                        <w:overflowPunct w:val="true"/>
                        <w:spacing w:lineRule="auto" w:line="240" w:before="0" w:after="0"/>
                        <w:rPr>
                          <w:rFonts w:ascii="Calibri" w:hAnsi="Calibri" w:eastAsia="Calibri" w:cs="" w:asciiTheme="minorHAnsi" w:cstheme="minorBidi" w:eastAsiaTheme="minorHAnsi" w:hAnsiTheme="minorHAnsi"/>
                          <w:b/>
                          <w:b/>
                          <w:bCs/>
                          <w:color w:val="000000"/>
                          <w:sz w:val="22"/>
                          <w:szCs w:val="22"/>
                        </w:rPr>
                      </w:pPr>
                      <w:r>
                        <w:rPr>
                          <w:rFonts w:eastAsia="Calibri" w:cs="" w:ascii="Calibri" w:hAnsi="Calibri" w:cstheme="minorBidi" w:eastAsiaTheme="minorHAnsi"/>
                          <w:b/>
                          <w:bCs/>
                          <w:color w:val="000000"/>
                          <w:sz w:val="22"/>
                          <w:szCs w:val="22"/>
                        </w:rPr>
                        <w:t>Pour les 3 premiers mois de l’année 2021, 1198 primes à la conversion ont déjà été accordées.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350" cy="2426335"/>
                <wp:effectExtent l="0" t="0" r="0" b="0"/>
                <wp:wrapNone/>
                <wp:docPr id="3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9515" cy="139065"/>
                <wp:effectExtent l="0" t="0" r="0" b="0"/>
                <wp:wrapNone/>
                <wp:docPr id="31"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350" cy="2652395"/>
                <wp:effectExtent l="0" t="0" r="0" b="0"/>
                <wp:wrapNone/>
                <wp:docPr id="3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1</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350" cy="2426335"/>
                <wp:effectExtent l="0" t="0" r="0" b="0"/>
                <wp:wrapNone/>
                <wp:docPr id="3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9515" cy="139065"/>
                <wp:effectExtent l="0" t="0" r="0" b="0"/>
                <wp:wrapNone/>
                <wp:docPr id="36"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350" cy="2652395"/>
                <wp:effectExtent l="0" t="0" r="0" b="0"/>
                <wp:wrapNone/>
                <wp:docPr id="3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cstheme="minorBidi" w:eastAsiaTheme="minorHAnsi"/>
                                <w:b/>
                                <w:bCs/>
                                <w:color w:val="00000A"/>
                                <w:sz w:val="22"/>
                                <w:szCs w:val="22"/>
                              </w:rPr>
                            </w:r>
                          </w:p>
                          <w:p>
                            <w:pPr>
                              <w:pStyle w:val="02inter2"/>
                              <w:rPr>
                                <w:rFonts w:ascii="Calibri" w:hAnsi="Calibri"/>
                                <w:b/>
                                <w:b/>
                                <w:bCs/>
                                <w:color w:val="000000"/>
                                <w:sz w:val="22"/>
                                <w:szCs w:val="22"/>
                              </w:rPr>
                            </w:pPr>
                            <w:r>
                              <w:rPr>
                                <w:rFonts w:ascii="Calibri" w:hAnsi="Calibri"/>
                                <w:b/>
                                <w:bCs/>
                                <w:color w:val="000000"/>
                                <w:sz w:val="22"/>
                                <w:szCs w:val="22"/>
                              </w:rPr>
                              <w:t>France Relance, c’est 4,9 M€ mobilisés pour 12 projets de rénovation des bâtiments de l’Etat, pour un meilleur confort des agents et des usagers.</w:t>
                            </w:r>
                          </w:p>
                          <w:p>
                            <w:pPr>
                              <w:pStyle w:val="02inter2"/>
                              <w:rPr>
                                <w:rFonts w:ascii="Calibri" w:hAnsi="Calibri"/>
                                <w:b/>
                                <w:b/>
                                <w:bCs/>
                                <w:color w:val="000000"/>
                                <w:sz w:val="22"/>
                                <w:szCs w:val="22"/>
                              </w:rPr>
                            </w:pPr>
                            <w:r>
                              <w:rPr>
                                <w:rFonts w:ascii="Calibri" w:hAnsi="Calibri"/>
                                <w:b/>
                                <w:bCs/>
                                <w:color w:val="000000"/>
                                <w:sz w:val="22"/>
                                <w:szCs w:val="22"/>
                              </w:rPr>
                              <w:t>Les sites concernés sont à :</w:t>
                            </w:r>
                          </w:p>
                          <w:p>
                            <w:pPr>
                              <w:pStyle w:val="02inter2"/>
                              <w:rPr>
                                <w:rFonts w:ascii="Calibri" w:hAnsi="Calibri"/>
                                <w:b/>
                                <w:b/>
                                <w:bCs/>
                                <w:sz w:val="22"/>
                                <w:szCs w:val="22"/>
                              </w:rPr>
                            </w:pPr>
                            <w:r>
                              <w:rPr>
                                <w:rFonts w:ascii="Calibri" w:hAnsi="Calibri"/>
                                <w:b/>
                                <w:bCs/>
                                <w:color w:val="000000"/>
                                <w:sz w:val="22"/>
                                <w:szCs w:val="22"/>
                              </w:rPr>
                              <w:t xml:space="preserve">- Agen : </w:t>
                            </w:r>
                            <w:r>
                              <w:rPr>
                                <w:rFonts w:cs="Times New Roman" w:ascii="Calibri" w:hAnsi="Calibri"/>
                                <w:b/>
                                <w:bCs/>
                                <w:color w:val="000000"/>
                                <w:sz w:val="22"/>
                                <w:szCs w:val="22"/>
                              </w:rPr>
                              <w:t>locaux de la Gendarmerie, de la police nationale, de la DDT et de la DDCSPP, et  le restaurant universitaire du campus du Pin,</w:t>
                            </w:r>
                          </w:p>
                          <w:p>
                            <w:pPr>
                              <w:pStyle w:val="02inter2"/>
                              <w:rPr>
                                <w:rFonts w:ascii="Calibri" w:hAnsi="Calibri"/>
                                <w:b/>
                                <w:b/>
                                <w:bCs/>
                                <w:sz w:val="22"/>
                                <w:szCs w:val="22"/>
                              </w:rPr>
                            </w:pPr>
                            <w:r>
                              <w:rPr>
                                <w:rFonts w:cs="Times New Roman" w:ascii="Calibri" w:hAnsi="Calibri"/>
                                <w:b/>
                                <w:bCs/>
                                <w:color w:val="000000"/>
                                <w:sz w:val="22"/>
                                <w:szCs w:val="22"/>
                              </w:rPr>
                              <w:t>- Marmande : locaux de la Gendarmerie et de Pôle Emploi,</w:t>
                            </w:r>
                          </w:p>
                          <w:p>
                            <w:pPr>
                              <w:pStyle w:val="02inter2"/>
                              <w:rPr>
                                <w:rFonts w:ascii="Calibri" w:hAnsi="Calibri"/>
                                <w:b/>
                                <w:b/>
                                <w:bCs/>
                                <w:sz w:val="22"/>
                                <w:szCs w:val="22"/>
                              </w:rPr>
                            </w:pPr>
                            <w:r>
                              <w:rPr>
                                <w:rFonts w:cs="Times New Roman" w:ascii="Calibri" w:hAnsi="Calibri"/>
                                <w:b/>
                                <w:bCs/>
                                <w:color w:val="000000"/>
                                <w:sz w:val="22"/>
                                <w:szCs w:val="22"/>
                              </w:rPr>
                              <w:t xml:space="preserve">- Villeneuve/Lot : isolation de la sous-préfecture. </w:t>
                            </w:r>
                          </w:p>
                          <w:p>
                            <w:pPr>
                              <w:pStyle w:val="03listetiret"/>
                              <w:numPr>
                                <w:ilvl w:val="0"/>
                                <w:numId w:val="0"/>
                              </w:numPr>
                              <w:ind w:left="788" w:hanging="0"/>
                              <w:rPr>
                                <w:rFonts w:cs="Times New Roman"/>
                                <w:color w:val="000000"/>
                              </w:rPr>
                            </w:pPr>
                            <w:r>
                              <w:rPr>
                                <w:rFonts w:cs="Times New Roman"/>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sz w:val="22"/>
                          <w:szCs w:val="22"/>
                        </w:rPr>
                      </w:pPr>
                      <w:r>
                        <w:rPr>
                          <w:rFonts w:eastAsia="Calibri" w:cs="" w:cstheme="minorBidi" w:eastAsiaTheme="minorHAnsi"/>
                          <w:b/>
                          <w:bCs/>
                          <w:color w:val="00000A"/>
                          <w:sz w:val="22"/>
                          <w:szCs w:val="22"/>
                        </w:rPr>
                      </w:r>
                    </w:p>
                    <w:p>
                      <w:pPr>
                        <w:pStyle w:val="02inter2"/>
                        <w:rPr>
                          <w:rFonts w:ascii="Calibri" w:hAnsi="Calibri"/>
                          <w:b/>
                          <w:b/>
                          <w:bCs/>
                          <w:color w:val="000000"/>
                          <w:sz w:val="22"/>
                          <w:szCs w:val="22"/>
                        </w:rPr>
                      </w:pPr>
                      <w:r>
                        <w:rPr>
                          <w:rFonts w:ascii="Calibri" w:hAnsi="Calibri"/>
                          <w:b/>
                          <w:bCs/>
                          <w:color w:val="000000"/>
                          <w:sz w:val="22"/>
                          <w:szCs w:val="22"/>
                        </w:rPr>
                        <w:t>France Relance, c’est 4,9 M€ mobilisés pour 12 projets de rénovation des bâtiments de l’Etat, pour un meilleur confort des agents et des usagers.</w:t>
                      </w:r>
                    </w:p>
                    <w:p>
                      <w:pPr>
                        <w:pStyle w:val="02inter2"/>
                        <w:rPr>
                          <w:rFonts w:ascii="Calibri" w:hAnsi="Calibri"/>
                          <w:b/>
                          <w:b/>
                          <w:bCs/>
                          <w:color w:val="000000"/>
                          <w:sz w:val="22"/>
                          <w:szCs w:val="22"/>
                        </w:rPr>
                      </w:pPr>
                      <w:r>
                        <w:rPr>
                          <w:rFonts w:ascii="Calibri" w:hAnsi="Calibri"/>
                          <w:b/>
                          <w:bCs/>
                          <w:color w:val="000000"/>
                          <w:sz w:val="22"/>
                          <w:szCs w:val="22"/>
                        </w:rPr>
                        <w:t>Les sites concernés sont à :</w:t>
                      </w:r>
                    </w:p>
                    <w:p>
                      <w:pPr>
                        <w:pStyle w:val="02inter2"/>
                        <w:rPr>
                          <w:rFonts w:ascii="Calibri" w:hAnsi="Calibri"/>
                          <w:b/>
                          <w:b/>
                          <w:bCs/>
                          <w:sz w:val="22"/>
                          <w:szCs w:val="22"/>
                        </w:rPr>
                      </w:pPr>
                      <w:r>
                        <w:rPr>
                          <w:rFonts w:ascii="Calibri" w:hAnsi="Calibri"/>
                          <w:b/>
                          <w:bCs/>
                          <w:color w:val="000000"/>
                          <w:sz w:val="22"/>
                          <w:szCs w:val="22"/>
                        </w:rPr>
                        <w:t xml:space="preserve">- Agen : </w:t>
                      </w:r>
                      <w:r>
                        <w:rPr>
                          <w:rFonts w:cs="Times New Roman" w:ascii="Calibri" w:hAnsi="Calibri"/>
                          <w:b/>
                          <w:bCs/>
                          <w:color w:val="000000"/>
                          <w:sz w:val="22"/>
                          <w:szCs w:val="22"/>
                        </w:rPr>
                        <w:t>locaux de la Gendarmerie, de la police nationale, de la DDT et de la DDCSPP, et  le restaurant universitaire du campus du Pin,</w:t>
                      </w:r>
                    </w:p>
                    <w:p>
                      <w:pPr>
                        <w:pStyle w:val="02inter2"/>
                        <w:rPr>
                          <w:rFonts w:ascii="Calibri" w:hAnsi="Calibri"/>
                          <w:b/>
                          <w:b/>
                          <w:bCs/>
                          <w:sz w:val="22"/>
                          <w:szCs w:val="22"/>
                        </w:rPr>
                      </w:pPr>
                      <w:r>
                        <w:rPr>
                          <w:rFonts w:cs="Times New Roman" w:ascii="Calibri" w:hAnsi="Calibri"/>
                          <w:b/>
                          <w:bCs/>
                          <w:color w:val="000000"/>
                          <w:sz w:val="22"/>
                          <w:szCs w:val="22"/>
                        </w:rPr>
                        <w:t>- Marmande : locaux de la Gendarmerie et de Pôle Emploi,</w:t>
                      </w:r>
                    </w:p>
                    <w:p>
                      <w:pPr>
                        <w:pStyle w:val="02inter2"/>
                        <w:rPr>
                          <w:rFonts w:ascii="Calibri" w:hAnsi="Calibri"/>
                          <w:b/>
                          <w:b/>
                          <w:bCs/>
                          <w:sz w:val="22"/>
                          <w:szCs w:val="22"/>
                        </w:rPr>
                      </w:pPr>
                      <w:r>
                        <w:rPr>
                          <w:rFonts w:cs="Times New Roman" w:ascii="Calibri" w:hAnsi="Calibri"/>
                          <w:b/>
                          <w:bCs/>
                          <w:color w:val="000000"/>
                          <w:sz w:val="22"/>
                          <w:szCs w:val="22"/>
                        </w:rPr>
                        <w:t xml:space="preserve">- Villeneuve/Lot : isolation de la sous-préfecture. </w:t>
                      </w:r>
                    </w:p>
                    <w:p>
                      <w:pPr>
                        <w:pStyle w:val="03listetiret"/>
                        <w:numPr>
                          <w:ilvl w:val="0"/>
                          <w:numId w:val="0"/>
                        </w:numPr>
                        <w:ind w:left="788" w:hanging="0"/>
                        <w:rPr>
                          <w:rFonts w:cs="Times New Roman"/>
                          <w:color w:val="000000"/>
                        </w:rPr>
                      </w:pPr>
                      <w:r>
                        <w:rPr>
                          <w:rFonts w:cs="Times New Roman"/>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0760" cy="7173595"/>
                <wp:effectExtent l="0" t="0" r="0" b="0"/>
                <wp:wrapNone/>
                <wp:docPr id="40" name="Forme1"/>
                <a:graphic xmlns:a="http://schemas.openxmlformats.org/drawingml/2006/main">
                  <a:graphicData uri="http://schemas.microsoft.com/office/word/2010/wordprocessingShape">
                    <wps:wsp>
                      <wps:cNvSpPr/>
                      <wps:spPr>
                        <a:xfrm>
                          <a:off x="0" y="0"/>
                          <a:ext cx="6080040" cy="717300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b/>
                                <w:b/>
                                <w:bCs/>
                              </w:rPr>
                            </w:pPr>
                            <w:r>
                              <w:rPr>
                                <w:b/>
                                <w:bCs/>
                              </w:rPr>
                              <w:t>Le second volet, la compétitivité, bénéficie d’une intervention  du plan de relance à hauteur de 35 milliards d’euros.</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L’objectif prioritaire est de favoriser le développement d’activité à forte valeur en France et de créer des emplois.</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Pour le Lot-et-Garonne, les entreprises participent de manière très importante aux différents appels à projets (AAP), comme par exemple le soutien au investissements industriels dans les territoires, aux modernisations des secteurs aéronautiques ou de l’automobile, ou encore à l’industrie du futur.</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Les lauréats sont annoncés officiellement au fur et à mesure de l’instruction de chaque AAP, soit au niveau national, soit au niveau régional, et certains dossiers non retenus sont réorientés vers une instruction conjointe avec le conseil régional de Nouvelle-Aquitaine ou BPI France.</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564.75pt">
                <w10:wrap type="square"/>
                <v:fill o:detectmouseclick="t" on="false"/>
                <v:stroke color="black" joinstyle="round" endcap="flat"/>
                <v:textbo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b/>
                          <w:b/>
                          <w:bCs/>
                        </w:rPr>
                      </w:pPr>
                      <w:r>
                        <w:rPr>
                          <w:b/>
                          <w:bCs/>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jc w:val="both"/>
                        <w:rPr>
                          <w:b/>
                          <w:b/>
                          <w:bCs/>
                        </w:rPr>
                      </w:pPr>
                      <w:r>
                        <w:rPr>
                          <w:b/>
                          <w:bCs/>
                        </w:rPr>
                        <w:t>Le second volet, la compétitivité, bénéficie d’une intervention  du plan de relance à hauteur de 35 milliards d’euros.</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L’objectif prioritaire est de favoriser le développement d’activité à forte valeur en France et de créer des emplois.</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Pour le Lot-et-Garonne, les entreprises participent de manière très importante aux différents appels à projets (AAP), comme par exemple le soutien au investissements industriels dans les territoires, aux modernisations des secteurs aéronautiques ou de l’automobile, ou encore à l’industrie du futur.</w:t>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b/>
                          <w:b/>
                          <w:bCs/>
                        </w:rPr>
                      </w:pPr>
                      <w:r>
                        <w:rPr>
                          <w:b/>
                          <w:bCs/>
                        </w:rPr>
                        <w:t>Les lauréats sont annoncés officiellement au fur et à mesure de l’instruction de chaque AAP, soit au niveau national, soit au niveau régional, et certains dossiers non retenus sont réorientés vers une instruction conjointe avec le conseil régional de Nouvelle-Aquitaine ou BPI France.</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7925" cy="139065"/>
                <wp:effectExtent l="0" t="0" r="0" b="0"/>
                <wp:wrapNone/>
                <wp:docPr id="42"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0</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bookmarkEnd w:id="7"/>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350" cy="2426335"/>
                <wp:effectExtent l="0" t="0" r="0" b="0"/>
                <wp:wrapNone/>
                <wp:docPr id="4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9515" cy="139065"/>
                <wp:effectExtent l="0" t="0" r="0" b="0"/>
                <wp:wrapNone/>
                <wp:docPr id="45"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5350" cy="2652395"/>
                <wp:effectExtent l="0" t="0" r="0" b="0"/>
                <wp:wrapNone/>
                <wp:docPr id="4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176</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bookmarkEnd w:id="8"/>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2786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1164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373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176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350" cy="2426335"/>
                <wp:effectExtent l="0" t="0" r="0" b="0"/>
                <wp:wrapNone/>
                <wp:docPr id="4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9515" cy="139065"/>
                <wp:effectExtent l="0" t="0" r="0" b="0"/>
                <wp:wrapNone/>
                <wp:docPr id="50"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350" cy="2652395"/>
                <wp:effectExtent l="0" t="0" r="0" b="0"/>
                <wp:wrapNone/>
                <wp:docPr id="52"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Dans le département, la liste des bénéficiaires est composée essentiellement de TPE (moins de 10 salariés), et concerne prioritairement les domaines suivants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restauration-hébergement : restaurants, hôtels, campings, évènementiel, traiteurs,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les soins à la personne : coiffeurs, salons de beauté, parfumeries, clubs de remise en forme,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les arts et spectacles,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r>
                              <w:rPr>
                                <w:rFonts w:eastAsia="Calibri" w:cs="" w:cstheme="minorBidi" w:eastAsiaTheme="minorHAnsi"/>
                                <w:b/>
                                <w:bCs/>
                                <w:color w:val="00000A"/>
                              </w:rPr>
                              <w:t>-</w:t>
                            </w:r>
                            <w:r>
                              <w:rPr>
                                <w:rFonts w:eastAsia="Calibri" w:cs="" w:cstheme="minorBidi" w:eastAsiaTheme="minorHAnsi"/>
                                <w:b/>
                                <w:bCs/>
                                <w:color w:val="00000A"/>
                              </w:rPr>
                              <w:t>l</w:t>
                            </w:r>
                            <w:r>
                              <w:rPr>
                                <w:rFonts w:eastAsia="Calibri" w:cs="" w:cstheme="minorBidi" w:eastAsiaTheme="minorHAnsi"/>
                                <w:b/>
                                <w:bCs/>
                                <w:color w:val="00000A"/>
                              </w:rPr>
                              <w:t xml:space="preserve">e commerce de détail : </w:t>
                            </w:r>
                            <w:r>
                              <w:rPr>
                                <w:rFonts w:eastAsia="Calibri" w:cs="" w:cstheme="minorBidi" w:eastAsiaTheme="minorHAnsi"/>
                                <w:b/>
                                <w:bCs/>
                                <w:color w:val="00000A"/>
                              </w:rPr>
                              <w:t>habillement,</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et le commerce de gros.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Dans le département, la liste des bénéficiaires est composée essentiellement de TPE (moins de 10 salariés), et concerne prioritairement les domaines suivants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restauration-hébergement : restaurants, hôtels, campings, évènementiel, traiteurs,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les soins à la personne : coiffeurs, salons de beauté, parfumeries, clubs de remise en forme,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les arts et spectacles,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r>
                        <w:rPr>
                          <w:rFonts w:eastAsia="Calibri" w:cs="" w:cstheme="minorBidi" w:eastAsiaTheme="minorHAnsi"/>
                          <w:b/>
                          <w:bCs/>
                          <w:color w:val="00000A"/>
                        </w:rPr>
                        <w:t>-</w:t>
                      </w:r>
                      <w:r>
                        <w:rPr>
                          <w:rFonts w:eastAsia="Calibri" w:cs="" w:cstheme="minorBidi" w:eastAsiaTheme="minorHAnsi"/>
                          <w:b/>
                          <w:bCs/>
                          <w:color w:val="00000A"/>
                        </w:rPr>
                        <w:t>l</w:t>
                      </w:r>
                      <w:r>
                        <w:rPr>
                          <w:rFonts w:eastAsia="Calibri" w:cs="" w:cstheme="minorBidi" w:eastAsiaTheme="minorHAnsi"/>
                          <w:b/>
                          <w:bCs/>
                          <w:color w:val="00000A"/>
                        </w:rPr>
                        <w:t xml:space="preserve">e commerce de détail : </w:t>
                      </w:r>
                      <w:r>
                        <w:rPr>
                          <w:rFonts w:eastAsia="Calibri" w:cs="" w:cstheme="minorBidi" w:eastAsiaTheme="minorHAnsi"/>
                          <w:b/>
                          <w:bCs/>
                          <w:color w:val="00000A"/>
                        </w:rPr>
                        <w:t>habillement,</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et le commerce de gros.</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5</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bookmarkEnd w:id="9"/>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350" cy="2426335"/>
                <wp:effectExtent l="0" t="0" r="0" b="0"/>
                <wp:wrapNone/>
                <wp:docPr id="5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9515" cy="139065"/>
                <wp:effectExtent l="0" t="0" r="0" b="0"/>
                <wp:wrapNone/>
                <wp:docPr id="55"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350" cy="2652395"/>
                <wp:effectExtent l="0" t="0" r="0" b="0"/>
                <wp:wrapNone/>
                <wp:docPr id="5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L’appel à projets soutien à l’investissement industriel dans les territoires a bénéficié à 5 entreprises au cours du 1</w:t>
                            </w:r>
                            <w:r>
                              <w:rPr>
                                <w:rFonts w:eastAsia="Calibri" w:cs="" w:cstheme="minorBidi" w:eastAsiaTheme="minorHAnsi"/>
                                <w:b/>
                                <w:bCs/>
                                <w:color w:val="00000A"/>
                                <w:vertAlign w:val="superscript"/>
                              </w:rPr>
                              <w:t>er</w:t>
                            </w:r>
                            <w:r>
                              <w:rPr>
                                <w:rFonts w:eastAsia="Calibri" w:cs="" w:cstheme="minorBidi" w:eastAsiaTheme="minorHAnsi"/>
                                <w:b/>
                                <w:bCs/>
                                <w:color w:val="00000A"/>
                              </w:rPr>
                              <w:t xml:space="preserve"> trimestre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Bois Tourné Aquitain à Casteljaloux : 800 000€ </w:t>
                            </w:r>
                            <w:bookmarkStart w:id="10" w:name="__DdeLink__15100_739923514"/>
                            <w:r>
                              <w:rPr>
                                <w:rFonts w:eastAsia="Calibri" w:cs="" w:cstheme="minorBidi" w:eastAsiaTheme="minorHAnsi"/>
                                <w:b/>
                                <w:bCs/>
                                <w:color w:val="00000A"/>
                              </w:rPr>
                              <w:t xml:space="preserve">de subvention pour un investissement de </w:t>
                            </w:r>
                            <w:bookmarkEnd w:id="10"/>
                            <w:r>
                              <w:rPr>
                                <w:rFonts w:eastAsia="Calibri" w:cs="" w:cstheme="minorBidi" w:eastAsiaTheme="minorHAnsi"/>
                                <w:b/>
                                <w:bCs/>
                                <w:color w:val="00000A"/>
                              </w:rPr>
                              <w:t>1,8M€,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Babcock Wanson à Nérac                    :  585 000€  de subvention pour un investissement de 1,17 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STEICO à Casteljaloux                           : 800 000€ de subvention pour un investissement de 19M€,</w:t>
                            </w:r>
                          </w:p>
                          <w:p>
                            <w:pPr>
                              <w:pStyle w:val="Contenudecadre"/>
                              <w:overflowPunct w:val="true"/>
                              <w:spacing w:lineRule="auto" w:line="240" w:before="0" w:after="0"/>
                              <w:rPr/>
                            </w:pPr>
                            <w:r>
                              <w:rPr>
                                <w:rFonts w:eastAsia="Calibri" w:cs="" w:cstheme="minorBidi" w:eastAsiaTheme="minorHAnsi"/>
                                <w:b/>
                                <w:bCs/>
                                <w:color w:val="00000A"/>
                              </w:rPr>
                              <w:t xml:space="preserve">- Maison Briau à Estillac                         : 800 000€ de subvention pour un investissement de </w:t>
                            </w:r>
                            <w:r>
                              <w:rPr>
                                <w:rFonts w:eastAsia="Calibri" w:cs="" w:cstheme="minorBidi" w:eastAsiaTheme="minorHAnsi"/>
                                <w:b/>
                                <w:bCs/>
                                <w:color w:val="00000A"/>
                              </w:rPr>
                              <w:t>5,8 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 CHEF à Estillac                                   : 688 000€ de subvention pour un investissement de  4,98M€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L’appel à projets soutien à l’investissement industriel dans les territoires a bénéficié à 5 entreprises au cours du 1</w:t>
                      </w:r>
                      <w:r>
                        <w:rPr>
                          <w:rFonts w:eastAsia="Calibri" w:cs="" w:cstheme="minorBidi" w:eastAsiaTheme="minorHAnsi"/>
                          <w:b/>
                          <w:bCs/>
                          <w:color w:val="00000A"/>
                          <w:vertAlign w:val="superscript"/>
                        </w:rPr>
                        <w:t>er</w:t>
                      </w:r>
                      <w:r>
                        <w:rPr>
                          <w:rFonts w:eastAsia="Calibri" w:cs="" w:cstheme="minorBidi" w:eastAsiaTheme="minorHAnsi"/>
                          <w:b/>
                          <w:bCs/>
                          <w:color w:val="00000A"/>
                        </w:rPr>
                        <w:t xml:space="preserve"> trimestre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Bois Tourné Aquitain à Casteljaloux : 800 000€ </w:t>
                      </w:r>
                      <w:bookmarkStart w:id="11" w:name="__DdeLink__15100_739923514"/>
                      <w:r>
                        <w:rPr>
                          <w:rFonts w:eastAsia="Calibri" w:cs="" w:cstheme="minorBidi" w:eastAsiaTheme="minorHAnsi"/>
                          <w:b/>
                          <w:bCs/>
                          <w:color w:val="00000A"/>
                        </w:rPr>
                        <w:t xml:space="preserve">de subvention pour un investissement de </w:t>
                      </w:r>
                      <w:bookmarkEnd w:id="11"/>
                      <w:r>
                        <w:rPr>
                          <w:rFonts w:eastAsia="Calibri" w:cs="" w:cstheme="minorBidi" w:eastAsiaTheme="minorHAnsi"/>
                          <w:b/>
                          <w:bCs/>
                          <w:color w:val="00000A"/>
                        </w:rPr>
                        <w:t>1,8M€,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Babcock Wanson à Nérac                    :  585 000€  de subvention pour un investissement de 1,17 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STEICO à Casteljaloux                           : 800 000€ de subvention pour un investissement de 19M€,</w:t>
                      </w:r>
                    </w:p>
                    <w:p>
                      <w:pPr>
                        <w:pStyle w:val="Contenudecadre"/>
                        <w:overflowPunct w:val="true"/>
                        <w:spacing w:lineRule="auto" w:line="240" w:before="0" w:after="0"/>
                        <w:rPr/>
                      </w:pPr>
                      <w:r>
                        <w:rPr>
                          <w:rFonts w:eastAsia="Calibri" w:cs="" w:cstheme="minorBidi" w:eastAsiaTheme="minorHAnsi"/>
                          <w:b/>
                          <w:bCs/>
                          <w:color w:val="00000A"/>
                        </w:rPr>
                        <w:t xml:space="preserve">- Maison Briau à Estillac                         : 800 000€ de subvention pour un investissement de </w:t>
                      </w:r>
                      <w:r>
                        <w:rPr>
                          <w:rFonts w:eastAsia="Calibri" w:cs="" w:cstheme="minorBidi" w:eastAsiaTheme="minorHAnsi"/>
                          <w:b/>
                          <w:bCs/>
                          <w:color w:val="00000A"/>
                        </w:rPr>
                        <w:t>5,8 M€,</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LE CHEF à Estillac                                   : 688 000€ de subvention pour un investissement de  4,98M€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0"/>
            <w:bookmarkEnd w:id="12"/>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350" cy="2426335"/>
                <wp:effectExtent l="0" t="0" r="0" b="0"/>
                <wp:wrapNone/>
                <wp:docPr id="5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9515" cy="139065"/>
                <wp:effectExtent l="0" t="0" r="0" b="0"/>
                <wp:wrapNone/>
                <wp:docPr id="60"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5350" cy="2652395"/>
                <wp:effectExtent l="0" t="0" r="0" b="0"/>
                <wp:wrapNone/>
                <wp:docPr id="62"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11</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1"/>
            <w:bookmarkEnd w:id="13"/>
            <w:r>
              <w:rPr>
                <w:b/>
                <w:bCs/>
                <w:sz w:val="20"/>
                <w:szCs w:val="20"/>
              </w:rPr>
              <w:t>: Nouvelle-Aquitaine</w:t>
            </w:r>
          </w:p>
        </w:tc>
      </w:tr>
      <w:tr>
        <w:trPr>
          <w:trHeight w:val="450" w:hRule="atLeast"/>
        </w:trPr>
        <w:tc>
          <w:tcPr>
            <w:tcW w:w="2600"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r>
      <w:tr>
        <w:trPr>
          <w:trHeight w:val="545"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2600"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r>
        <w:trPr>
          <w:trHeight w:val="617"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2600"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75"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350" cy="2426335"/>
                <wp:effectExtent l="0" t="0" r="0" b="0"/>
                <wp:wrapNone/>
                <wp:docPr id="6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9515" cy="139065"/>
                <wp:effectExtent l="0" t="0" r="0" b="0"/>
                <wp:wrapNone/>
                <wp:docPr id="65"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350" cy="2652395"/>
                <wp:effectExtent l="0" t="0" r="0" b="0"/>
                <wp:wrapNone/>
                <wp:docPr id="6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0760" cy="8709025"/>
                <wp:effectExtent l="0" t="0" r="0" b="0"/>
                <wp:wrapNone/>
                <wp:docPr id="69" name="Forme1"/>
                <a:graphic xmlns:a="http://schemas.openxmlformats.org/drawingml/2006/main">
                  <a:graphicData uri="http://schemas.microsoft.com/office/word/2010/wordprocessingShape">
                    <wps:wsp>
                      <wps:cNvSpPr/>
                      <wps:spPr>
                        <a:xfrm>
                          <a:off x="0" y="0"/>
                          <a:ext cx="6080040" cy="870840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spacing w:lineRule="auto" w:line="240" w:before="0" w:after="0"/>
                              <w:rPr>
                                <w:b/>
                                <w:b/>
                              </w:rPr>
                            </w:pPr>
                            <w:r>
                              <w:rPr>
                                <w:b/>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color w:val="000000"/>
                              </w:rPr>
                            </w:pPr>
                            <w:r>
                              <w:rPr>
                                <w:b/>
                                <w:color w:val="000000"/>
                              </w:rPr>
                              <w:t>Ce troisième volet, consacré à la cohésion, dispose de 35 milliards d’euros dans le plan de relance, et a pour objectif d’éviter la hausse des inégalités en France.</w:t>
                            </w:r>
                          </w:p>
                          <w:p>
                            <w:pPr>
                              <w:pStyle w:val="Normal"/>
                              <w:spacing w:lineRule="auto" w:line="240" w:before="0" w:after="0"/>
                              <w:jc w:val="both"/>
                              <w:rPr>
                                <w:b/>
                                <w:b/>
                              </w:rPr>
                            </w:pPr>
                            <w:r>
                              <w:rPr>
                                <w:b/>
                              </w:rPr>
                            </w:r>
                          </w:p>
                          <w:p>
                            <w:pPr>
                              <w:pStyle w:val="Normal"/>
                              <w:spacing w:lineRule="auto" w:line="240" w:before="0" w:after="0"/>
                              <w:jc w:val="both"/>
                              <w:rPr>
                                <w:color w:val="000000"/>
                              </w:rPr>
                            </w:pPr>
                            <w:r>
                              <w:rPr>
                                <w:b/>
                                <w:color w:val="000000"/>
                              </w:rPr>
                              <w:t>De nombreux dispositifs sont ouverts ou renforcés, en matière de cohésion et  d’emploi.</w:t>
                            </w:r>
                          </w:p>
                          <w:p>
                            <w:pPr>
                              <w:pStyle w:val="Contenudecadre"/>
                              <w:spacing w:lineRule="auto" w:line="240" w:before="0" w:after="0"/>
                              <w:jc w:val="both"/>
                              <w:rPr>
                                <w:b/>
                                <w:b/>
                                <w:color w:val="000000"/>
                              </w:rPr>
                            </w:pPr>
                            <w:r>
                              <w:rPr>
                                <w:b/>
                                <w:color w:val="000000"/>
                              </w:rPr>
                            </w:r>
                          </w:p>
                          <w:p>
                            <w:pPr>
                              <w:pStyle w:val="Contenudecadre"/>
                              <w:jc w:val="both"/>
                              <w:rPr>
                                <w:color w:val="000000"/>
                              </w:rPr>
                            </w:pPr>
                            <w:r>
                              <w:rPr>
                                <w:b/>
                                <w:bCs/>
                                <w:color w:val="000000"/>
                              </w:rPr>
                              <w:t xml:space="preserve">Ainsi, les partenaires du service public de l’emploi (SPE : missions locales, Pôle emploi et Cap emploi), pilotés par le préfet de département, sont pleinement mobilisés depuis le début de la crise sanitaire, en étant engagés dans la promotion, la déclinaison et la mise en œuvre du volet emploi du plan de relance : mobilisation des acteurs, </w:t>
                            </w:r>
                            <w:bookmarkStart w:id="14" w:name="_GoBack111"/>
                            <w:bookmarkEnd w:id="14"/>
                            <w:r>
                              <w:rPr>
                                <w:b/>
                                <w:bCs/>
                                <w:color w:val="000000"/>
                              </w:rPr>
                              <w:t xml:space="preserve"> des collectivités, des entreprises…</w:t>
                            </w:r>
                          </w:p>
                          <w:p>
                            <w:pPr>
                              <w:pStyle w:val="Contenudecadre"/>
                              <w:jc w:val="both"/>
                              <w:rPr>
                                <w:color w:val="000000"/>
                              </w:rPr>
                            </w:pPr>
                            <w:r>
                              <w:rPr>
                                <w:b/>
                                <w:bCs/>
                                <w:color w:val="000000"/>
                              </w:rPr>
                              <w:t>Une animation resserrée du SPE est organisée mensuellement par la DDETSPP (direction départementale de l’emploi, du travail, des solidarités et de la protection des populations) dans le cadre d’un SPEO (opérationnel) qui rassemble les partenaires traditionnels et le département, partenaire essentiel de la cohésion.</w:t>
                            </w:r>
                          </w:p>
                          <w:p>
                            <w:pPr>
                              <w:pStyle w:val="Contenudecadre"/>
                              <w:jc w:val="both"/>
                              <w:rPr>
                                <w:color w:val="000000"/>
                              </w:rPr>
                            </w:pPr>
                            <w:r>
                              <w:rPr>
                                <w:b/>
                                <w:bCs/>
                                <w:color w:val="000000"/>
                              </w:rPr>
                              <w:t>Le suivi précis des mesures mises en œuvre est examiné en comité, les instructions y sont partagées.</w:t>
                            </w:r>
                          </w:p>
                          <w:p>
                            <w:pPr>
                              <w:pStyle w:val="Contenudecadre"/>
                              <w:jc w:val="both"/>
                              <w:rPr>
                                <w:color w:val="000000"/>
                              </w:rPr>
                            </w:pPr>
                            <w:r>
                              <w:rPr>
                                <w:b/>
                                <w:bCs/>
                                <w:color w:val="000000"/>
                              </w:rPr>
                              <w:t>Le rôle du SPE est donc essentiel : ses acteurs doivent être présents, disponibles, forces de propositions, avec pour objectif de convaincre les employeurs des effets immédiats, à moyen terme et à long terme de ces dispositifs.</w:t>
                            </w:r>
                          </w:p>
                          <w:p>
                            <w:pPr>
                              <w:pStyle w:val="Contenudecadre"/>
                              <w:jc w:val="both"/>
                              <w:rPr>
                                <w:b/>
                                <w:b/>
                                <w:bCs/>
                              </w:rPr>
                            </w:pPr>
                            <w:r>
                              <w:rPr>
                                <w:b/>
                                <w:bCs/>
                              </w:rPr>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685.65pt">
                <w10:wrap type="square"/>
                <v:fill o:detectmouseclick="t" on="false"/>
                <v:stroke color="black" joinstyle="round" endcap="flat"/>
                <v:textbox>
                  <w:txbxContent>
                    <w:p>
                      <w:pPr>
                        <w:pStyle w:val="Contenudecadre"/>
                        <w:overflowPunct w:val="tru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spacing w:lineRule="auto" w:line="240" w:before="0" w:after="0"/>
                        <w:rPr>
                          <w:b/>
                          <w:b/>
                        </w:rPr>
                      </w:pPr>
                      <w:r>
                        <w:rPr>
                          <w:b/>
                        </w:rPr>
                      </w:r>
                    </w:p>
                    <w:p>
                      <w:pPr>
                        <w:pStyle w:val="Contenudecadre"/>
                        <w:overflowPunct w:val="true"/>
                        <w:spacing w:lineRule="auto" w:line="240" w:before="0" w:after="0"/>
                        <w:jc w:val="both"/>
                        <w:rPr/>
                      </w:pPr>
                      <w:r>
                        <w:rPr/>
                      </w:r>
                    </w:p>
                    <w:p>
                      <w:pPr>
                        <w:pStyle w:val="Contenudecadre"/>
                        <w:overflowPunct w:val="true"/>
                        <w:spacing w:lineRule="auto" w:line="240" w:before="0" w:after="0"/>
                        <w:jc w:val="both"/>
                        <w:rPr>
                          <w:color w:val="000000"/>
                        </w:rPr>
                      </w:pPr>
                      <w:r>
                        <w:rPr>
                          <w:b/>
                          <w:color w:val="000000"/>
                        </w:rPr>
                        <w:t>Ce troisième volet, consacré à la cohésion, dispose de 35 milliards d’euros dans le plan de relance, et a pour objectif d’éviter la hausse des inégalités en France.</w:t>
                      </w:r>
                    </w:p>
                    <w:p>
                      <w:pPr>
                        <w:pStyle w:val="Normal"/>
                        <w:spacing w:lineRule="auto" w:line="240" w:before="0" w:after="0"/>
                        <w:jc w:val="both"/>
                        <w:rPr>
                          <w:b/>
                          <w:b/>
                        </w:rPr>
                      </w:pPr>
                      <w:r>
                        <w:rPr>
                          <w:b/>
                        </w:rPr>
                      </w:r>
                    </w:p>
                    <w:p>
                      <w:pPr>
                        <w:pStyle w:val="Normal"/>
                        <w:spacing w:lineRule="auto" w:line="240" w:before="0" w:after="0"/>
                        <w:jc w:val="both"/>
                        <w:rPr>
                          <w:color w:val="000000"/>
                        </w:rPr>
                      </w:pPr>
                      <w:r>
                        <w:rPr>
                          <w:b/>
                          <w:color w:val="000000"/>
                        </w:rPr>
                        <w:t>De nombreux dispositifs sont ouverts ou renforcés, en matière de cohésion et  d’emploi.</w:t>
                      </w:r>
                    </w:p>
                    <w:p>
                      <w:pPr>
                        <w:pStyle w:val="Contenudecadre"/>
                        <w:spacing w:lineRule="auto" w:line="240" w:before="0" w:after="0"/>
                        <w:jc w:val="both"/>
                        <w:rPr>
                          <w:b/>
                          <w:b/>
                          <w:color w:val="000000"/>
                        </w:rPr>
                      </w:pPr>
                      <w:r>
                        <w:rPr>
                          <w:b/>
                          <w:color w:val="000000"/>
                        </w:rPr>
                      </w:r>
                    </w:p>
                    <w:p>
                      <w:pPr>
                        <w:pStyle w:val="Contenudecadre"/>
                        <w:jc w:val="both"/>
                        <w:rPr>
                          <w:color w:val="000000"/>
                        </w:rPr>
                      </w:pPr>
                      <w:r>
                        <w:rPr>
                          <w:b/>
                          <w:bCs/>
                          <w:color w:val="000000"/>
                        </w:rPr>
                        <w:t xml:space="preserve">Ainsi, les partenaires du service public de l’emploi (SPE : missions locales, Pôle emploi et Cap emploi), pilotés par le préfet de département, sont pleinement mobilisés depuis le début de la crise sanitaire, en étant engagés dans la promotion, la déclinaison et la mise en œuvre du volet emploi du plan de relance : mobilisation des acteurs, </w:t>
                      </w:r>
                      <w:bookmarkStart w:id="15" w:name="_GoBack111"/>
                      <w:bookmarkEnd w:id="15"/>
                      <w:r>
                        <w:rPr>
                          <w:b/>
                          <w:bCs/>
                          <w:color w:val="000000"/>
                        </w:rPr>
                        <w:t xml:space="preserve"> des collectivités, des entreprises…</w:t>
                      </w:r>
                    </w:p>
                    <w:p>
                      <w:pPr>
                        <w:pStyle w:val="Contenudecadre"/>
                        <w:jc w:val="both"/>
                        <w:rPr>
                          <w:color w:val="000000"/>
                        </w:rPr>
                      </w:pPr>
                      <w:r>
                        <w:rPr>
                          <w:b/>
                          <w:bCs/>
                          <w:color w:val="000000"/>
                        </w:rPr>
                        <w:t>Une animation resserrée du SPE est organisée mensuellement par la DDETSPP (direction départementale de l’emploi, du travail, des solidarités et de la protection des populations) dans le cadre d’un SPEO (opérationnel) qui rassemble les partenaires traditionnels et le département, partenaire essentiel de la cohésion.</w:t>
                      </w:r>
                    </w:p>
                    <w:p>
                      <w:pPr>
                        <w:pStyle w:val="Contenudecadre"/>
                        <w:jc w:val="both"/>
                        <w:rPr>
                          <w:color w:val="000000"/>
                        </w:rPr>
                      </w:pPr>
                      <w:r>
                        <w:rPr>
                          <w:b/>
                          <w:bCs/>
                          <w:color w:val="000000"/>
                        </w:rPr>
                        <w:t>Le suivi précis des mesures mises en œuvre est examiné en comité, les instructions y sont partagées.</w:t>
                      </w:r>
                    </w:p>
                    <w:p>
                      <w:pPr>
                        <w:pStyle w:val="Contenudecadre"/>
                        <w:jc w:val="both"/>
                        <w:rPr>
                          <w:color w:val="000000"/>
                        </w:rPr>
                      </w:pPr>
                      <w:r>
                        <w:rPr>
                          <w:b/>
                          <w:bCs/>
                          <w:color w:val="000000"/>
                        </w:rPr>
                        <w:t>Le rôle du SPE est donc essentiel : ses acteurs doivent être présents, disponibles, forces de propositions, avec pour objectif de convaincre les employeurs des effets immédiats, à moyen terme et à long terme de ces dispositifs.</w:t>
                      </w:r>
                    </w:p>
                    <w:p>
                      <w:pPr>
                        <w:pStyle w:val="Contenudecadre"/>
                        <w:jc w:val="both"/>
                        <w:rPr>
                          <w:b/>
                          <w:b/>
                          <w:bCs/>
                        </w:rPr>
                      </w:pPr>
                      <w:r>
                        <w:rPr>
                          <w:b/>
                          <w:bCs/>
                        </w:rPr>
                      </w:r>
                    </w:p>
                    <w:p>
                      <w:pPr>
                        <w:pStyle w:val="Contenudecadre"/>
                        <w:overflowPunct w:val="true"/>
                        <w:spacing w:lineRule="auto" w:line="240" w:before="0" w:after="0"/>
                        <w:jc w:val="both"/>
                        <w:rPr>
                          <w:b/>
                          <w:b/>
                          <w:bCs/>
                        </w:rPr>
                      </w:pPr>
                      <w:r>
                        <w:rPr>
                          <w:b/>
                          <w:bCs/>
                        </w:rPr>
                      </w:r>
                    </w:p>
                    <w:p>
                      <w:pPr>
                        <w:pStyle w:val="Contenudecadre"/>
                        <w:overflowPunct w:val="true"/>
                        <w:spacing w:lineRule="auto" w:line="240" w:before="0" w:after="0"/>
                        <w:jc w:val="both"/>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7925" cy="139065"/>
                <wp:effectExtent l="0" t="0" r="0" b="0"/>
                <wp:wrapNone/>
                <wp:docPr id="71" name="Forme2"/>
                <a:graphic xmlns:a="http://schemas.openxmlformats.org/drawingml/2006/main">
                  <a:graphicData uri="http://schemas.microsoft.com/office/word/2010/wordprocessingShape">
                    <wps:wsp>
                      <wps:cNvSpPr/>
                      <wps:spPr>
                        <a:xfrm>
                          <a:off x="0" y="0"/>
                          <a:ext cx="75272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1939</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2"/>
            <w:bookmarkEnd w:id="16"/>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33737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29387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23251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1939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1721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1419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350" cy="2426335"/>
                <wp:effectExtent l="0" t="0" r="0" b="0"/>
                <wp:wrapNone/>
                <wp:docPr id="7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9515" cy="139065"/>
                <wp:effectExtent l="0" t="0" r="0" b="0"/>
                <wp:wrapNone/>
                <wp:docPr id="74"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5350" cy="2652395"/>
                <wp:effectExtent l="0" t="0" r="0" b="0"/>
                <wp:wrapNone/>
                <wp:docPr id="7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listetiret"/>
                              <w:numPr>
                                <w:ilvl w:val="0"/>
                                <w:numId w:val="0"/>
                              </w:numPr>
                              <w:overflowPunct w:val="true"/>
                              <w:spacing w:lineRule="auto" w:line="240" w:before="0" w:after="0"/>
                              <w:ind w:left="283" w:hanging="0"/>
                              <w:rPr/>
                            </w:pPr>
                            <w:r>
                              <w:rPr>
                                <w:rFonts w:eastAsia="Calibri" w:cs="" w:ascii="Calibri" w:hAnsi="Calibri" w:cstheme="minorBidi" w:eastAsiaTheme="minorHAnsi"/>
                                <w:b/>
                                <w:bCs/>
                                <w:color w:val="00000A"/>
                              </w:rPr>
                              <w:t>A titre de comparaison, en 2020, 878 contrats d’apprentissage ont été aidés par France Relance.</w:t>
                            </w:r>
                          </w:p>
                          <w:p>
                            <w:pPr>
                              <w:pStyle w:val="03listetiret"/>
                              <w:numPr>
                                <w:ilvl w:val="0"/>
                                <w:numId w:val="0"/>
                              </w:numPr>
                              <w:overflowPunct w:val="true"/>
                              <w:spacing w:lineRule="auto" w:line="240" w:before="0" w:after="0"/>
                              <w:ind w:left="788" w:hanging="0"/>
                              <w:rPr>
                                <w:rFonts w:ascii="Calibri" w:hAnsi="Calibri" w:eastAsia="Calibri" w:cs="" w:asciiTheme="minorHAnsi" w:cstheme="minorBidi" w:eastAsiaTheme="minorHAnsi" w:hAnsiTheme="minorHAnsi"/>
                                <w:b/>
                                <w:b/>
                                <w:bCs/>
                                <w:color w:val="00000A"/>
                              </w:rPr>
                            </w:pPr>
                            <w:r>
                              <w:rPr>
                                <w:rFonts w:eastAsia="Calibri" w:cs="" w:cstheme="minorBidi" w:eastAsiaTheme="minorHAnsi" w:ascii="Calibri" w:hAnsi="Calibri"/>
                                <w:b/>
                                <w:bCs/>
                                <w:color w:val="00000A"/>
                              </w:rPr>
                            </w:r>
                          </w:p>
                          <w:p>
                            <w:pPr>
                              <w:pStyle w:val="03listetiret"/>
                              <w:numPr>
                                <w:ilvl w:val="0"/>
                                <w:numId w:val="0"/>
                              </w:numPr>
                              <w:overflowPunct w:val="true"/>
                              <w:spacing w:lineRule="auto" w:line="240" w:before="0" w:after="0"/>
                              <w:ind w:left="283" w:hanging="0"/>
                              <w:rPr/>
                            </w:pPr>
                            <w:r>
                              <w:rPr>
                                <w:rFonts w:eastAsia="Calibri" w:cs="" w:ascii="Calibri" w:hAnsi="Calibri" w:cstheme="minorBidi" w:eastAsiaTheme="minorHAnsi"/>
                                <w:b/>
                                <w:bCs/>
                                <w:color w:val="00000A"/>
                              </w:rPr>
                              <w:t>A la fin du 1</w:t>
                            </w:r>
                            <w:r>
                              <w:rPr>
                                <w:rFonts w:eastAsia="Calibri" w:cs="" w:ascii="Calibri" w:hAnsi="Calibri" w:cstheme="minorBidi" w:eastAsiaTheme="minorHAnsi"/>
                                <w:b/>
                                <w:bCs/>
                                <w:color w:val="00000A"/>
                                <w:vertAlign w:val="superscript"/>
                              </w:rPr>
                              <w:t>er</w:t>
                            </w:r>
                            <w:r>
                              <w:rPr>
                                <w:rFonts w:eastAsia="Calibri" w:cs="" w:ascii="Calibri" w:hAnsi="Calibri" w:cstheme="minorBidi" w:eastAsiaTheme="minorHAnsi"/>
                                <w:b/>
                                <w:bCs/>
                                <w:color w:val="00000A"/>
                              </w:rPr>
                              <w:t xml:space="preserve"> trimestre 2021, plus de 1000 contrats supplémentaires ont été signés, pour atteindre au 31 mars 2021 déjà 1939 contrats d’apprentissage.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listetiret"/>
                        <w:numPr>
                          <w:ilvl w:val="0"/>
                          <w:numId w:val="0"/>
                        </w:numPr>
                        <w:overflowPunct w:val="true"/>
                        <w:spacing w:lineRule="auto" w:line="240" w:before="0" w:after="0"/>
                        <w:ind w:left="283" w:hanging="0"/>
                        <w:rPr/>
                      </w:pPr>
                      <w:r>
                        <w:rPr>
                          <w:rFonts w:eastAsia="Calibri" w:cs="" w:ascii="Calibri" w:hAnsi="Calibri" w:cstheme="minorBidi" w:eastAsiaTheme="minorHAnsi"/>
                          <w:b/>
                          <w:bCs/>
                          <w:color w:val="00000A"/>
                        </w:rPr>
                        <w:t>A titre de comparaison, en 2020, 878 contrats d’apprentissage ont été aidés par France Relance.</w:t>
                      </w:r>
                    </w:p>
                    <w:p>
                      <w:pPr>
                        <w:pStyle w:val="03listetiret"/>
                        <w:numPr>
                          <w:ilvl w:val="0"/>
                          <w:numId w:val="0"/>
                        </w:numPr>
                        <w:overflowPunct w:val="true"/>
                        <w:spacing w:lineRule="auto" w:line="240" w:before="0" w:after="0"/>
                        <w:ind w:left="788" w:hanging="0"/>
                        <w:rPr>
                          <w:rFonts w:ascii="Calibri" w:hAnsi="Calibri" w:eastAsia="Calibri" w:cs="" w:asciiTheme="minorHAnsi" w:cstheme="minorBidi" w:eastAsiaTheme="minorHAnsi" w:hAnsiTheme="minorHAnsi"/>
                          <w:b/>
                          <w:b/>
                          <w:bCs/>
                          <w:color w:val="00000A"/>
                        </w:rPr>
                      </w:pPr>
                      <w:r>
                        <w:rPr>
                          <w:rFonts w:eastAsia="Calibri" w:cs="" w:cstheme="minorBidi" w:eastAsiaTheme="minorHAnsi" w:ascii="Calibri" w:hAnsi="Calibri"/>
                          <w:b/>
                          <w:bCs/>
                          <w:color w:val="00000A"/>
                        </w:rPr>
                      </w:r>
                    </w:p>
                    <w:p>
                      <w:pPr>
                        <w:pStyle w:val="03listetiret"/>
                        <w:numPr>
                          <w:ilvl w:val="0"/>
                          <w:numId w:val="0"/>
                        </w:numPr>
                        <w:overflowPunct w:val="true"/>
                        <w:spacing w:lineRule="auto" w:line="240" w:before="0" w:after="0"/>
                        <w:ind w:left="283" w:hanging="0"/>
                        <w:rPr/>
                      </w:pPr>
                      <w:r>
                        <w:rPr>
                          <w:rFonts w:eastAsia="Calibri" w:cs="" w:ascii="Calibri" w:hAnsi="Calibri" w:cstheme="minorBidi" w:eastAsiaTheme="minorHAnsi"/>
                          <w:b/>
                          <w:bCs/>
                          <w:color w:val="00000A"/>
                        </w:rPr>
                        <w:t>A la fin du 1</w:t>
                      </w:r>
                      <w:r>
                        <w:rPr>
                          <w:rFonts w:eastAsia="Calibri" w:cs="" w:ascii="Calibri" w:hAnsi="Calibri" w:cstheme="minorBidi" w:eastAsiaTheme="minorHAnsi"/>
                          <w:b/>
                          <w:bCs/>
                          <w:color w:val="00000A"/>
                          <w:vertAlign w:val="superscript"/>
                        </w:rPr>
                        <w:t>er</w:t>
                      </w:r>
                      <w:r>
                        <w:rPr>
                          <w:rFonts w:eastAsia="Calibri" w:cs="" w:ascii="Calibri" w:hAnsi="Calibri" w:cstheme="minorBidi" w:eastAsiaTheme="minorHAnsi"/>
                          <w:b/>
                          <w:bCs/>
                          <w:color w:val="00000A"/>
                        </w:rPr>
                        <w:t xml:space="preserve"> trimestre 2021, plus de 1000 contrats supplémentaires ont été signés, pour atteindre au 31 mars 2021 déjà 1939 contrats d’apprentissage.</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995</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3"/>
            <w:bookmarkEnd w:id="17"/>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22826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18855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7862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995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800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351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350" cy="2426335"/>
                <wp:effectExtent l="0" t="0" r="0" b="0"/>
                <wp:wrapNone/>
                <wp:docPr id="7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9515" cy="139065"/>
                <wp:effectExtent l="0" t="0" r="0" b="0"/>
                <wp:wrapNone/>
                <wp:docPr id="79"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350" cy="2652395"/>
                <wp:effectExtent l="0" t="0" r="0" b="0"/>
                <wp:wrapNone/>
                <wp:docPr id="8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jc w:val="both"/>
                              <w:rPr>
                                <w:color w:val="000000"/>
                              </w:rPr>
                            </w:pPr>
                            <w:r>
                              <w:rPr>
                                <w:rFonts w:eastAsia="Calibri" w:eastAsiaTheme="minorHAnsi"/>
                                <w:b/>
                                <w:bCs/>
                                <w:color w:val="000000"/>
                              </w:rPr>
                              <w:t>Cette mesure phare du plan #1jeune1solution est plutôt bien connue et identifiée par les employeurs et a un réel effet levier sur l’embauche.</w:t>
                            </w:r>
                          </w:p>
                          <w:p>
                            <w:pPr>
                              <w:pStyle w:val="Contenudecadre"/>
                              <w:numPr>
                                <w:ilvl w:val="0"/>
                                <w:numId w:val="0"/>
                              </w:numPr>
                              <w:ind w:hanging="0"/>
                              <w:jc w:val="both"/>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Elle connaît une progression constante, avec un léger ralentissement en mars lié sans doute à la prolongation de l’aide ,et va demeurer mobilisée de manière importante jusqu’à son arrêt fin mai.</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jc w:val="both"/>
                        <w:rPr>
                          <w:color w:val="000000"/>
                        </w:rPr>
                      </w:pPr>
                      <w:r>
                        <w:rPr>
                          <w:rFonts w:eastAsia="Calibri" w:eastAsiaTheme="minorHAnsi"/>
                          <w:b/>
                          <w:bCs/>
                          <w:color w:val="000000"/>
                        </w:rPr>
                        <w:t>Cette mesure phare du plan #1jeune1solution est plutôt bien connue et identifiée par les employeurs et a un réel effet levier sur l’embauche.</w:t>
                      </w:r>
                    </w:p>
                    <w:p>
                      <w:pPr>
                        <w:pStyle w:val="Contenudecadre"/>
                        <w:numPr>
                          <w:ilvl w:val="0"/>
                          <w:numId w:val="0"/>
                        </w:numPr>
                        <w:ind w:hanging="0"/>
                        <w:jc w:val="both"/>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Elle connaît une progression constante, avec un léger ralentissement en mars lié sans doute à la prolongation de l’aide ,et va demeurer mobilisée de manière importante jusqu’à son arrêt fin mai.</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65</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4"/>
            <w:bookmarkEnd w:id="18"/>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691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348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350" cy="2426335"/>
                <wp:effectExtent l="0" t="0" r="0" b="0"/>
                <wp:wrapNone/>
                <wp:docPr id="8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9515" cy="139065"/>
                <wp:effectExtent l="0" t="0" r="0" b="0"/>
                <wp:wrapNone/>
                <wp:docPr id="84"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350" cy="2652395"/>
                <wp:effectExtent l="0" t="0" r="0" b="0"/>
                <wp:wrapNone/>
                <wp:docPr id="8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 xml:space="preserve">Il est intéressant de souligner le travail de terrain de Cap emploi, qui assure un bon relais d’information auprès des employeurs lot-et-garonnais sur les aides à l’embauche des travailleurs handicapés. </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 xml:space="preserve">Il est intéressant de souligner le travail de terrain de Cap emploi, qui assure un bon relais d’information auprès des employeurs lot-et-garonnais sur les aides à l’embauche des travailleurs handicapés. </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49</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5"/>
            <w:bookmarkEnd w:id="19"/>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452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49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350" cy="2426335"/>
                <wp:effectExtent l="0" t="0" r="0" b="0"/>
                <wp:wrapNone/>
                <wp:docPr id="8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9515" cy="139065"/>
                <wp:effectExtent l="0" t="0" r="0" b="0"/>
                <wp:wrapNone/>
                <wp:docPr id="89"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350" cy="2652395"/>
                <wp:effectExtent l="0" t="0" r="0" b="0"/>
                <wp:wrapNone/>
                <wp:docPr id="9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Un recours encore modeste au CIE jeunes, « concurrencé » par la prime à l’embauche des jeunes.</w:t>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L’assouplissement début mai des conditions d‘accès, notamment le passage possible de contrats de 30 à 35h hebdomadaires, va contribuer à renforcer sa mobilisation.</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Un recours encore modeste au CIE jeunes, « concurrencé » par la prime à l’embauche des jeunes.</w:t>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spacing w:lineRule="auto" w:line="240" w:before="0" w:after="0"/>
                        <w:jc w:val="both"/>
                        <w:rPr>
                          <w:color w:val="000000"/>
                        </w:rPr>
                      </w:pPr>
                      <w:r>
                        <w:rPr>
                          <w:rFonts w:eastAsia="Calibri" w:eastAsiaTheme="minorHAnsi"/>
                          <w:b/>
                          <w:bCs/>
                          <w:color w:val="000000"/>
                        </w:rPr>
                        <w:t>L’assouplissement début mai des conditions d‘accès, notamment le passage possible de contrats de 30 à 35h hebdomadaires, va contribuer à renforcer sa mobilisation.</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79</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0" w:name="__DdeLink__225_361440075816"/>
            <w:bookmarkEnd w:id="20"/>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2640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1485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79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350" cy="2426335"/>
                <wp:effectExtent l="0" t="0" r="0" b="0"/>
                <wp:wrapNone/>
                <wp:docPr id="9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9515" cy="139065"/>
                <wp:effectExtent l="0" t="0" r="0" b="0"/>
                <wp:wrapNone/>
                <wp:docPr id="94"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350" cy="2652395"/>
                <wp:effectExtent l="0" t="0" r="0" b="0"/>
                <wp:wrapNone/>
                <wp:docPr id="9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608</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1" w:name="__DdeLink__225_361440075817"/>
            <w:bookmarkEnd w:id="21"/>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10207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9007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8101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608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542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484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350" cy="2426335"/>
                <wp:effectExtent l="0" t="0" r="0" b="0"/>
                <wp:wrapNone/>
                <wp:docPr id="9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9515" cy="139065"/>
                <wp:effectExtent l="0" t="0" r="0" b="0"/>
                <wp:wrapNone/>
                <wp:docPr id="99"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350" cy="2652395"/>
                <wp:effectExtent l="0" t="0" r="0" b="0"/>
                <wp:wrapNone/>
                <wp:docPr id="10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jc w:val="both"/>
                              <w:rPr>
                                <w:color w:val="000000"/>
                              </w:rPr>
                            </w:pPr>
                            <w:r>
                              <w:rPr>
                                <w:rFonts w:eastAsia="Calibri" w:eastAsiaTheme="minorHAnsi"/>
                                <w:b/>
                                <w:bCs/>
                                <w:color w:val="000000"/>
                              </w:rPr>
                              <w:t>Les missions locales de Lot-et-Garonne ont pris la mesure des attentes gouvernementales. Certaines d’entre elles ont procédé à des recrutements internes afin d’être en mesure d’accompagner au mieux les jeunes suivis, dont le volume est en forte croissance.</w:t>
                            </w:r>
                          </w:p>
                          <w:p>
                            <w:pPr>
                              <w:pStyle w:val="Contenudecadre"/>
                              <w:jc w:val="both"/>
                              <w:rPr>
                                <w:color w:val="000000"/>
                              </w:rPr>
                            </w:pPr>
                            <w:r>
                              <w:rPr>
                                <w:rFonts w:eastAsia="Calibri" w:eastAsiaTheme="minorHAnsi"/>
                                <w:b/>
                                <w:bCs/>
                                <w:color w:val="000000"/>
                              </w:rPr>
                              <w:t>Les groupes de jeunes et les ateliers de suivi en garantie jeunes sont démultipliés.</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jc w:val="both"/>
                        <w:rPr>
                          <w:color w:val="000000"/>
                        </w:rPr>
                      </w:pPr>
                      <w:r>
                        <w:rPr>
                          <w:rFonts w:eastAsia="Calibri" w:eastAsiaTheme="minorHAnsi"/>
                          <w:b/>
                          <w:bCs/>
                          <w:color w:val="000000"/>
                        </w:rPr>
                        <w:t>Les missions locales de Lot-et-Garonne ont pris la mesure des attentes gouvernementales. Certaines d’entre elles ont procédé à des recrutements internes afin d’être en mesure d’accompagner au mieux les jeunes suivis, dont le volume est en forte croissance.</w:t>
                      </w:r>
                    </w:p>
                    <w:p>
                      <w:pPr>
                        <w:pStyle w:val="Contenudecadre"/>
                        <w:jc w:val="both"/>
                        <w:rPr>
                          <w:color w:val="000000"/>
                        </w:rPr>
                      </w:pPr>
                      <w:r>
                        <w:rPr>
                          <w:rFonts w:eastAsia="Calibri" w:eastAsiaTheme="minorHAnsi"/>
                          <w:b/>
                          <w:bCs/>
                          <w:color w:val="000000"/>
                        </w:rPr>
                        <w:t>Les groupes de jeunes et les ateliers de suivi en garantie jeunes sont démultipliés.</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101</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2" w:name="__DdeLink__225_361440075818"/>
            <w:bookmarkEnd w:id="22"/>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2246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1929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1736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101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68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350" cy="2426335"/>
                <wp:effectExtent l="0" t="0" r="0" b="0"/>
                <wp:wrapNone/>
                <wp:docPr id="10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9515" cy="139065"/>
                <wp:effectExtent l="0" t="0" r="0" b="0"/>
                <wp:wrapNone/>
                <wp:docPr id="104"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350" cy="2652395"/>
                <wp:effectExtent l="0" t="0" r="0" b="0"/>
                <wp:wrapNone/>
                <wp:docPr id="10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jc w:val="both"/>
                              <w:rPr>
                                <w:color w:val="000000"/>
                              </w:rPr>
                            </w:pPr>
                            <w:r>
                              <w:rPr>
                                <w:rFonts w:eastAsia="Calibri" w:eastAsiaTheme="minorHAnsi"/>
                                <w:b/>
                                <w:bCs/>
                                <w:color w:val="000000"/>
                              </w:rPr>
                              <w:t xml:space="preserve">Le nombre de PEC jeune continue à croître localement, mais se heurte à un problème de mobilisation des employeurs publics potentiels qui sont encore dans une position d’attentisme, voire de frilosité dans les recrutements. </w:t>
                            </w:r>
                          </w:p>
                          <w:p>
                            <w:pPr>
                              <w:pStyle w:val="Contenudecadre"/>
                              <w:jc w:val="both"/>
                              <w:rPr>
                                <w:color w:val="000000"/>
                              </w:rPr>
                            </w:pPr>
                            <w:r>
                              <w:rPr>
                                <w:rFonts w:eastAsia="Calibri" w:eastAsiaTheme="minorHAnsi"/>
                                <w:b/>
                                <w:bCs/>
                                <w:color w:val="000000"/>
                              </w:rPr>
                              <w:t>La perspective des échéances électorales n’est habituellement pas très favorable aux recrutements par les employeurs publics, et cette tendance est identique sur l’ensemble des territoires.</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jc w:val="both"/>
                        <w:rPr>
                          <w:rFonts w:ascii="Calibri" w:hAnsi="Calibri" w:eastAsia="Calibri" w:asciiTheme="minorHAnsi" w:eastAsiaTheme="minorHAnsi" w:hAnsiTheme="minorHAnsi"/>
                          <w:b/>
                          <w:b/>
                          <w:bCs/>
                          <w:color w:val="000000"/>
                        </w:rPr>
                      </w:pPr>
                      <w:r>
                        <w:rPr>
                          <w:rFonts w:eastAsia="Calibri" w:eastAsiaTheme="minorHAnsi"/>
                          <w:b/>
                          <w:bCs/>
                          <w:color w:val="000000"/>
                        </w:rPr>
                      </w:r>
                    </w:p>
                    <w:p>
                      <w:pPr>
                        <w:pStyle w:val="Contenudecadre"/>
                        <w:jc w:val="both"/>
                        <w:rPr>
                          <w:color w:val="000000"/>
                        </w:rPr>
                      </w:pPr>
                      <w:r>
                        <w:rPr>
                          <w:rFonts w:eastAsia="Calibri" w:eastAsiaTheme="minorHAnsi"/>
                          <w:b/>
                          <w:bCs/>
                          <w:color w:val="000000"/>
                        </w:rPr>
                        <w:t xml:space="preserve">Le nombre de PEC jeune continue à croître localement, mais se heurte à un problème de mobilisation des employeurs publics potentiels qui sont encore dans une position d’attentisme, voire de frilosité dans les recrutements. </w:t>
                      </w:r>
                    </w:p>
                    <w:p>
                      <w:pPr>
                        <w:pStyle w:val="Contenudecadre"/>
                        <w:jc w:val="both"/>
                        <w:rPr>
                          <w:color w:val="000000"/>
                        </w:rPr>
                      </w:pPr>
                      <w:r>
                        <w:rPr>
                          <w:rFonts w:eastAsia="Calibri" w:eastAsiaTheme="minorHAnsi"/>
                          <w:b/>
                          <w:bCs/>
                          <w:color w:val="000000"/>
                        </w:rPr>
                        <w:t>La perspective des échéances électorales n’est habituellement pas très favorable aux recrutements par les employeurs publics, et cette tendance est identique sur l’ensemble des territoires.</w:t>
                      </w:r>
                    </w:p>
                    <w:p>
                      <w:pPr>
                        <w:pStyle w:val="Contenudecadre"/>
                        <w:overflowPunct w:val="true"/>
                        <w:spacing w:lineRule="auto" w:line="240" w:before="0" w:after="0"/>
                        <w:jc w:val="both"/>
                        <w:rPr>
                          <w:rFonts w:ascii="Calibri" w:hAnsi="Calibri" w:eastAsia="Calibri" w:cs="" w:asciiTheme="minorHAnsi" w:eastAsiaTheme="minorHAnsi" w:hAnsiTheme="minorHAnsi"/>
                          <w:b/>
                          <w:b/>
                          <w:bCs/>
                          <w:color w:val="000000"/>
                        </w:rPr>
                      </w:pPr>
                      <w:r>
                        <w:rPr>
                          <w:rFonts w:eastAsia="Calibri" w:cs="" w:eastAsiaTheme="minorHAnsi"/>
                          <w:b/>
                          <w:bCs/>
                          <w:color w:val="000000"/>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292</w:t>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3" w:name="__DdeLink__225_361440075819"/>
            <w:bookmarkEnd w:id="23"/>
            <w:r>
              <w:rPr>
                <w:b/>
                <w:bCs/>
                <w:sz w:val="20"/>
                <w:szCs w:val="20"/>
              </w:rPr>
              <w:t>: Nouvelle-Aquitaine</w:t>
            </w:r>
          </w:p>
        </w:tc>
      </w:tr>
      <w:tr>
        <w:trPr>
          <w:trHeight w:val="450"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6429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6007  </w:t>
            </w:r>
          </w:p>
        </w:tc>
      </w:tr>
      <w:tr>
        <w:trPr>
          <w:trHeight w:val="545"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5744  </w:t>
            </w:r>
          </w:p>
        </w:tc>
      </w:tr>
    </w:tbl>
    <w:p>
      <w:pPr>
        <w:pStyle w:val="Normal"/>
        <w:rPr>
          <w:sz w:val="4"/>
          <w:szCs w:val="4"/>
        </w:rPr>
      </w:pPr>
      <w:r>
        <w:rPr>
          <w:sz w:val="4"/>
          <w:szCs w:val="4"/>
        </w:rPr>
      </w:r>
    </w:p>
    <w:tbl>
      <w:tblPr>
        <w:tblStyle w:val="Grilledutableau"/>
        <w:tblW w:w="9417" w:type="dxa"/>
        <w:jc w:val="left"/>
        <w:tblInd w:w="0" w:type="dxa"/>
        <w:tblCellMar>
          <w:top w:w="0" w:type="dxa"/>
          <w:left w:w="93"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93"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Lot-et-Garonne</w:t>
            </w:r>
          </w:p>
        </w:tc>
      </w:tr>
      <w:tr>
        <w:trPr>
          <w:trHeight w:val="395" w:hRule="atLeast"/>
        </w:trPr>
        <w:tc>
          <w:tcPr>
            <w:tcW w:w="3787"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93"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292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  </w:t>
            </w:r>
          </w:p>
        </w:tc>
      </w:tr>
      <w:tr>
        <w:trPr>
          <w:trHeight w:val="617" w:hRule="atLeast"/>
        </w:trPr>
        <w:tc>
          <w:tcPr>
            <w:tcW w:w="3787" w:type="dxa"/>
            <w:tcBorders/>
            <w:shd w:color="auto" w:fill="FFFFFF"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93"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263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350" cy="2426335"/>
                <wp:effectExtent l="0" t="0" r="0" b="0"/>
                <wp:wrapNone/>
                <wp:docPr id="10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9515" cy="139065"/>
                <wp:effectExtent l="0" t="0" r="0" b="0"/>
                <wp:wrapNone/>
                <wp:docPr id="109" name="Forme1"/>
                <a:graphic xmlns:a="http://schemas.openxmlformats.org/drawingml/2006/main">
                  <a:graphicData uri="http://schemas.microsoft.com/office/word/2010/wordprocessingShape">
                    <wps:wsp>
                      <wps:cNvSpPr/>
                      <wps:spPr>
                        <a:xfrm>
                          <a:off x="0" y="0"/>
                          <a:ext cx="75488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3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350" cy="2652395"/>
                <wp:effectExtent l="0" t="0" r="0" b="0"/>
                <wp:wrapNone/>
                <wp:docPr id="11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34" y="0"/>
              <wp:lineTo x="-234" y="21123"/>
              <wp:lineTo x="20969" y="21123"/>
              <wp:lineTo x="20969" y="0"/>
              <wp:lineTo x="-234"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68" y="0"/>
              <wp:lineTo x="-468" y="20485"/>
              <wp:lineTo x="20878" y="20485"/>
              <wp:lineTo x="20878" y="0"/>
              <wp:lineTo x="-468"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ListLabel161">
    <w:name w:val="ListLabel 161"/>
    <w:qFormat/>
    <w:rPr>
      <w:rFonts w:ascii="Arial" w:hAnsi="Arial"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Calibri"/>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03textecourant">
    <w:name w:val="03_texte-courant"/>
    <w:basedOn w:val="Normal"/>
    <w:qFormat/>
    <w:pPr>
      <w:spacing w:lineRule="exact" w:line="260" w:before="0" w:after="120"/>
      <w:jc w:val="both"/>
    </w:pPr>
    <w:rPr>
      <w:rFonts w:ascii="Arial" w:hAnsi="Arial" w:cs="Arial"/>
      <w:bCs/>
    </w:rPr>
  </w:style>
  <w:style w:type="paragraph" w:styleId="ListParagraph">
    <w:name w:val="List Paragraph"/>
    <w:basedOn w:val="Normal"/>
    <w:qFormat/>
    <w:pPr>
      <w:ind w:left="720" w:hanging="0"/>
    </w:pPr>
    <w:rPr/>
  </w:style>
  <w:style w:type="paragraph" w:styleId="03listetiret">
    <w:name w:val="03_liste-tiret"/>
    <w:basedOn w:val="ListParagraph"/>
    <w:qFormat/>
    <w:pPr>
      <w:spacing w:lineRule="exact" w:line="280"/>
      <w:ind w:left="283" w:hanging="215"/>
    </w:pPr>
    <w:rPr>
      <w:rFonts w:ascii="Arial" w:hAnsi="Arial" w:cs="Arial"/>
    </w:rPr>
  </w:style>
  <w:style w:type="paragraph" w:styleId="02inter2">
    <w:name w:val="02_inter 2"/>
    <w:basedOn w:val="03textecourant"/>
    <w:qFormat/>
    <w:pPr>
      <w:spacing w:lineRule="exact" w:line="300" w:before="0" w:after="60"/>
    </w:pPr>
    <w:rPr>
      <w:color w:val="169B62"/>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3207</Words>
  <Characters>17935</Characters>
  <CharactersWithSpaces>22449</CharactersWithSpaces>
  <Paragraphs>895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2021-05-05T14:46:22Z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