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Lozère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2121758330"/>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08_2889413557">
            <w:r>
              <w:rPr>
                <w:webHidden/>
                <w:rStyle w:val="Sautdindex"/>
              </w:rPr>
              <w:t>Volet 1 : Ecologie</w:t>
              <w:tab/>
              <w:t>3</w:t>
            </w:r>
          </w:hyperlink>
        </w:p>
        <w:p>
          <w:pPr>
            <w:pStyle w:val="Tabledesmatiresniveau3"/>
            <w:tabs>
              <w:tab w:val="right" w:pos="9356" w:leader="dot"/>
            </w:tabs>
            <w:rPr/>
          </w:pPr>
          <w:hyperlink w:anchor="__RefHeading___Toc2110_2889413557">
            <w:r>
              <w:rPr>
                <w:webHidden/>
                <w:rStyle w:val="Sautdindex"/>
              </w:rPr>
              <w:t>1 - Bonus écologique</w:t>
              <w:tab/>
              <w:t>4</w:t>
            </w:r>
          </w:hyperlink>
        </w:p>
        <w:p>
          <w:pPr>
            <w:pStyle w:val="Tabledesmatiresniveau3"/>
            <w:tabs>
              <w:tab w:val="right" w:pos="9356" w:leader="dot"/>
            </w:tabs>
            <w:rPr/>
          </w:pPr>
          <w:hyperlink w:anchor="__RefHeading___Toc2112_2889413557">
            <w:r>
              <w:rPr>
                <w:webHidden/>
                <w:rStyle w:val="Sautdindex"/>
              </w:rPr>
              <w:t>2 - MaPrimeRénov'</w:t>
              <w:tab/>
              <w:t>5</w:t>
            </w:r>
          </w:hyperlink>
        </w:p>
        <w:p>
          <w:pPr>
            <w:pStyle w:val="Tabledesmatiresniveau3"/>
            <w:tabs>
              <w:tab w:val="right" w:pos="9356" w:leader="dot"/>
            </w:tabs>
            <w:rPr/>
          </w:pPr>
          <w:hyperlink w:anchor="__RefHeading___Toc2114_2889413557">
            <w:r>
              <w:rPr>
                <w:webHidden/>
                <w:rStyle w:val="Sautdindex"/>
              </w:rPr>
              <w:t>3 - Modernisation des filières automobiles et aéronautiques</w:t>
              <w:tab/>
              <w:t>6</w:t>
            </w:r>
          </w:hyperlink>
        </w:p>
        <w:p>
          <w:pPr>
            <w:pStyle w:val="Tabledesmatiresniveau3"/>
            <w:tabs>
              <w:tab w:val="right" w:pos="9356" w:leader="dot"/>
            </w:tabs>
            <w:rPr/>
          </w:pPr>
          <w:hyperlink w:anchor="__RefHeading___Toc2116_2889413557">
            <w:r>
              <w:rPr>
                <w:webHidden/>
                <w:rStyle w:val="Sautdindex"/>
              </w:rPr>
              <w:t>4 - Prime à la conversion des agroéquipements</w:t>
              <w:tab/>
              <w:t>7</w:t>
            </w:r>
          </w:hyperlink>
        </w:p>
        <w:p>
          <w:pPr>
            <w:pStyle w:val="Tabledesmatiresniveau3"/>
            <w:tabs>
              <w:tab w:val="right" w:pos="9356" w:leader="dot"/>
            </w:tabs>
            <w:rPr/>
          </w:pPr>
          <w:hyperlink w:anchor="__RefHeading___Toc2118_2889413557">
            <w:r>
              <w:rPr>
                <w:webHidden/>
                <w:rStyle w:val="Sautdindex"/>
              </w:rPr>
              <w:t>5 - Prime à la conversion des véhicules légers</w:t>
              <w:tab/>
              <w:t>8</w:t>
            </w:r>
          </w:hyperlink>
        </w:p>
        <w:p>
          <w:pPr>
            <w:pStyle w:val="Tabledesmatiresniveau3"/>
            <w:tabs>
              <w:tab w:val="right" w:pos="9356" w:leader="dot"/>
            </w:tabs>
            <w:rPr/>
          </w:pPr>
          <w:hyperlink w:anchor="__RefHeading___Toc2120_2889413557">
            <w:r>
              <w:rPr>
                <w:webHidden/>
                <w:rStyle w:val="Sautdindex"/>
              </w:rPr>
              <w:t>6 - Réhabilitation Friches (urbaines et sites pollués)</w:t>
              <w:tab/>
              <w:t>9</w:t>
            </w:r>
          </w:hyperlink>
        </w:p>
        <w:p>
          <w:pPr>
            <w:pStyle w:val="Tabledesmatiresniveau3"/>
            <w:tabs>
              <w:tab w:val="right" w:pos="9356" w:leader="dot"/>
            </w:tabs>
            <w:rPr/>
          </w:pPr>
          <w:hyperlink w:anchor="__RefHeading___Toc2122_2889413557">
            <w:r>
              <w:rPr>
                <w:webHidden/>
                <w:rStyle w:val="Sautdindex"/>
              </w:rPr>
              <w:t>7 - Rénovation bâtiments Etat</w:t>
              <w:tab/>
              <w:t>10</w:t>
            </w:r>
          </w:hyperlink>
        </w:p>
        <w:p>
          <w:pPr>
            <w:pStyle w:val="Tabledesmatiresniveau2"/>
            <w:tabs>
              <w:tab w:val="right" w:pos="9356" w:leader="dot"/>
            </w:tabs>
            <w:rPr/>
          </w:pPr>
          <w:hyperlink w:anchor="__RefHeading___Toc2124_2889413557">
            <w:r>
              <w:rPr>
                <w:webHidden/>
                <w:rStyle w:val="Sautdindex"/>
              </w:rPr>
              <w:t>Volet 2 : Compétitivité</w:t>
              <w:tab/>
              <w:t>11</w:t>
            </w:r>
          </w:hyperlink>
        </w:p>
        <w:p>
          <w:pPr>
            <w:pStyle w:val="Tabledesmatiresniveau3"/>
            <w:tabs>
              <w:tab w:val="right" w:pos="9356" w:leader="dot"/>
            </w:tabs>
            <w:rPr/>
          </w:pPr>
          <w:hyperlink w:anchor="__RefHeading___Toc2126_2889413557">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128_2889413557">
            <w:r>
              <w:rPr>
                <w:webHidden/>
                <w:rStyle w:val="Sautdindex"/>
              </w:rPr>
              <w:t>9 - AAP Industrie : Sécurisation approvisionnements critiques</w:t>
              <w:tab/>
              <w:t>13</w:t>
            </w:r>
          </w:hyperlink>
        </w:p>
        <w:p>
          <w:pPr>
            <w:pStyle w:val="Tabledesmatiresniveau3"/>
            <w:tabs>
              <w:tab w:val="right" w:pos="9356" w:leader="dot"/>
            </w:tabs>
            <w:rPr/>
          </w:pPr>
          <w:hyperlink w:anchor="__RefHeading___Toc2130_2889413557">
            <w:r>
              <w:rPr>
                <w:webHidden/>
                <w:rStyle w:val="Sautdindex"/>
              </w:rPr>
              <w:t>10 - France Num : aide à la numérisation des TPE,PME,ETI</w:t>
              <w:tab/>
              <w:t>14</w:t>
            </w:r>
          </w:hyperlink>
        </w:p>
        <w:p>
          <w:pPr>
            <w:pStyle w:val="Tabledesmatiresniveau3"/>
            <w:tabs>
              <w:tab w:val="right" w:pos="9356" w:leader="dot"/>
            </w:tabs>
            <w:rPr/>
          </w:pPr>
          <w:hyperlink w:anchor="__RefHeading___Toc2132_2889413557">
            <w:r>
              <w:rPr>
                <w:webHidden/>
                <w:rStyle w:val="Sautdindex"/>
              </w:rPr>
              <w:t>11 - Industrie du futur</w:t>
              <w:tab/>
              <w:t>15</w:t>
            </w:r>
          </w:hyperlink>
        </w:p>
        <w:p>
          <w:pPr>
            <w:pStyle w:val="Tabledesmatiresniveau3"/>
            <w:tabs>
              <w:tab w:val="right" w:pos="9356" w:leader="dot"/>
            </w:tabs>
            <w:rPr/>
          </w:pPr>
          <w:hyperlink w:anchor="__RefHeading___Toc2134_2889413557">
            <w:r>
              <w:rPr>
                <w:webHidden/>
                <w:rStyle w:val="Sautdindex"/>
              </w:rPr>
              <w:t>12 - Renforcement subventions Business France</w:t>
              <w:tab/>
              <w:t>16</w:t>
            </w:r>
          </w:hyperlink>
        </w:p>
        <w:p>
          <w:pPr>
            <w:pStyle w:val="Tabledesmatiresniveau3"/>
            <w:tabs>
              <w:tab w:val="right" w:pos="9356" w:leader="dot"/>
            </w:tabs>
            <w:rPr/>
          </w:pPr>
          <w:hyperlink w:anchor="__RefHeading___Toc2136_2889413557">
            <w:r>
              <w:rPr>
                <w:webHidden/>
                <w:rStyle w:val="Sautdindex"/>
              </w:rPr>
              <w:t>13 - Soutien aux filières culturelles (cinéma, audiovisuel, musique, numérique, livre)</w:t>
              <w:tab/>
              <w:t>17</w:t>
            </w:r>
          </w:hyperlink>
        </w:p>
        <w:p>
          <w:pPr>
            <w:pStyle w:val="Tabledesmatiresniveau2"/>
            <w:tabs>
              <w:tab w:val="right" w:pos="9356" w:leader="dot"/>
            </w:tabs>
            <w:rPr/>
          </w:pPr>
          <w:hyperlink w:anchor="__RefHeading___Toc2138_2889413557">
            <w:r>
              <w:rPr>
                <w:webHidden/>
                <w:rStyle w:val="Sautdindex"/>
              </w:rPr>
              <w:t>Volet 3 : Cohésion</w:t>
              <w:tab/>
              <w:t>18</w:t>
            </w:r>
          </w:hyperlink>
        </w:p>
        <w:p>
          <w:pPr>
            <w:pStyle w:val="Tabledesmatiresniveau3"/>
            <w:tabs>
              <w:tab w:val="right" w:pos="9356" w:leader="dot"/>
            </w:tabs>
            <w:rPr/>
          </w:pPr>
          <w:hyperlink w:anchor="__RefHeading___Toc2140_2889413557">
            <w:r>
              <w:rPr>
                <w:webHidden/>
                <w:rStyle w:val="Sautdindex"/>
              </w:rPr>
              <w:t>14 - Apprentissage</w:t>
              <w:tab/>
              <w:t>19</w:t>
            </w:r>
          </w:hyperlink>
        </w:p>
        <w:p>
          <w:pPr>
            <w:pStyle w:val="Tabledesmatiresniveau3"/>
            <w:tabs>
              <w:tab w:val="right" w:pos="9356" w:leader="dot"/>
            </w:tabs>
            <w:rPr/>
          </w:pPr>
          <w:hyperlink w:anchor="__RefHeading___Toc2142_2889413557">
            <w:r>
              <w:rPr>
                <w:webHidden/>
                <w:rStyle w:val="Sautdindex"/>
              </w:rPr>
              <w:t>15 - Contrats Initiatives Emploi (CIE) Jeunes</w:t>
              <w:tab/>
              <w:t>20</w:t>
            </w:r>
          </w:hyperlink>
        </w:p>
        <w:p>
          <w:pPr>
            <w:pStyle w:val="Tabledesmatiresniveau3"/>
            <w:tabs>
              <w:tab w:val="right" w:pos="9356" w:leader="dot"/>
            </w:tabs>
            <w:rPr/>
          </w:pPr>
          <w:hyperlink w:anchor="__RefHeading___Toc2144_2889413557">
            <w:r>
              <w:rPr>
                <w:webHidden/>
                <w:rStyle w:val="Sautdindex"/>
              </w:rPr>
              <w:t>16 - Contrats de professionnalisation</w:t>
              <w:tab/>
              <w:t>21</w:t>
            </w:r>
          </w:hyperlink>
        </w:p>
        <w:p>
          <w:pPr>
            <w:pStyle w:val="Tabledesmatiresniveau3"/>
            <w:tabs>
              <w:tab w:val="right" w:pos="9356" w:leader="dot"/>
            </w:tabs>
            <w:rPr/>
          </w:pPr>
          <w:hyperlink w:anchor="__RefHeading___Toc2146_2889413557">
            <w:r>
              <w:rPr>
                <w:webHidden/>
                <w:rStyle w:val="Sautdindex"/>
              </w:rPr>
              <w:t>17 - Garantie jeunes</w:t>
              <w:tab/>
              <w:t>22</w:t>
            </w:r>
          </w:hyperlink>
        </w:p>
        <w:p>
          <w:pPr>
            <w:pStyle w:val="Tabledesmatiresniveau3"/>
            <w:tabs>
              <w:tab w:val="right" w:pos="9356" w:leader="dot"/>
            </w:tabs>
            <w:rPr/>
          </w:pPr>
          <w:hyperlink w:anchor="__RefHeading___Toc2148_2889413557">
            <w:r>
              <w:rPr>
                <w:webHidden/>
                <w:rStyle w:val="Sautdindex"/>
              </w:rPr>
              <w:t>18 - Parcours emploi compétences (PEC) Jeunes</w:t>
              <w:tab/>
              <w:t>23</w:t>
            </w:r>
          </w:hyperlink>
        </w:p>
        <w:p>
          <w:pPr>
            <w:pStyle w:val="Tabledesmatiresniveau3"/>
            <w:tabs>
              <w:tab w:val="right" w:pos="9356" w:leader="dot"/>
            </w:tabs>
            <w:rPr/>
          </w:pPr>
          <w:hyperlink w:anchor="__RefHeading___Toc2150_2889413557">
            <w:r>
              <w:rPr>
                <w:webHidden/>
                <w:rStyle w:val="Sautdindex"/>
              </w:rPr>
              <w:t>19 - Prime à l'embauche des jeunes</w:t>
              <w:tab/>
              <w:t>24</w:t>
            </w:r>
          </w:hyperlink>
        </w:p>
        <w:p>
          <w:pPr>
            <w:pStyle w:val="Tabledesmatiresniveau3"/>
            <w:tabs>
              <w:tab w:val="right" w:pos="9356" w:leader="dot"/>
            </w:tabs>
            <w:rPr/>
          </w:pPr>
          <w:hyperlink w:anchor="__RefHeading___Toc2152_2889413557">
            <w:r>
              <w:rPr>
                <w:webHidden/>
                <w:rStyle w:val="Sautdindex"/>
              </w:rPr>
              <w:t>20 - Prime à l'embauche pour les travailleurs handicapés</w:t>
              <w:tab/>
              <w:t>25</w:t>
            </w:r>
          </w:hyperlink>
        </w:p>
        <w:p>
          <w:pPr>
            <w:pStyle w:val="Tabledesmatiresniveau3"/>
            <w:tabs>
              <w:tab w:val="right" w:pos="9356" w:leader="dot"/>
            </w:tabs>
            <w:rPr/>
          </w:pPr>
          <w:hyperlink w:anchor="__RefHeading___Toc2154_2889413557">
            <w:r>
              <w:rPr>
                <w:webHidden/>
                <w:rStyle w:val="Sautdindex"/>
              </w:rPr>
              <w:t>21 - Service civique</w:t>
              <w:tab/>
              <w:t>26</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08_2889413557"/>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Un département comme celui de la Lozère est naturellement sensible aux questions de préservation de l’environnement et sa population adhère aux objectifs du plan France Relance que sont la conversion vers une économie moins consommatrice de matière première, le développement des circuits courts et de l’économie circulaire ou la lutte contre l’artificialisation des sols et la préservation de la biodiversité. </w:t>
              <w:br/>
              <w:t xml:space="preserve"> </w:t>
              <w:br/>
              <w:t xml:space="preserve">Les dispositifs relatifs à la rénovation énergétique des bâtiments, publics, privés ou d’habitation sont très appréciés des Lozériens du fait de l’allègement de la facture énergétique qu’ils impliquent et des gains induits en termes de pouvoir d’achat. </w:t>
              <w:br/>
              <w:t xml:space="preserve"> </w:t>
              <w:br/>
              <w:t xml:space="preserve">La mise en œuvre des mesures du volet Ecologie portant sur la décarbonation de l’industrie et des transports est à rapporter aux caractéristiques de l’économie lozérienne et aux éléments constitutifs des mobilités dans le département.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10_2889413557"/>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90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Occitanie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16 691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14 868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13 045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12_2889413557"/>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390 (2%)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6.7 M€ (2%)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(2%)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5.4 M€ (2%)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167 (1%)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4.2 M€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Occitanie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21 979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345.2 M€ (9%)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17 034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281.5 M€ (9%)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11 553 (10%)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232.8 M€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14_2889413557"/>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Occitanie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16_2889413557"/>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Occitanie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1 497 (18%)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1 497 (18%)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18_2889413557"/>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238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228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225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Occitanie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23 744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22 645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21 505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20_2889413557"/>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Occitanie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22_2889413557"/>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Occitanie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24_2889413557"/>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Favoriser les industries à forte valeur ajoutée, moderniser les outils de production et intégrer les entreprises dans une logique de filière amont/aval, font partie des objectifs dans lesquels les entreprises de Lozère se sont investies depuis le lancement du plan France Relance. </w:t>
              <w:br/>
              <w:t xml:space="preserve"> </w:t>
              <w:br/>
              <w:t xml:space="preserve">La mise en œuvre des mesures du volet compétitivité du plan France Relance en Lozère est à rapporter aux caractéristiques du tissu économique local, en particulier l’importance des PME et la faible ouverture de nombreuses structures à l’international.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26_2889413557"/>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Occitanie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38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En dépit des caractéristiques du tissu industriel lozérien, une entreprise est actuellement en bonne voie d’être lauréate de cet appel à projet.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28_2889413557"/>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Occitanie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La présence des entreprises lozériennes dans les filières touchant aux matières premières dites critiques ou stratégiques est très limitée.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30_2889413557"/>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82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56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Occitanie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6 202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4 890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3 414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Ce dispositif de guichet d’aide à la numérisation des entreprises consiste à accompagner de manière forfaitaire (chèque de 500€) celles qui ont fait face à une fermeture administrative depuis le 30/10/2020 et qui ont développé des solutions de poursuite d’activité de manière dématérialisée (e-commerce par exemple). </w:t>
              <w:br/>
              <w:t xml:space="preserve"> </w:t>
              <w:br/>
              <w:t xml:space="preserve">Ce dispositif a débuté en janvier 2021, et sa montée en puissance est manifeste sur les 3 premiers mois de l’année.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32_2889413557"/>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Occitanie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84 (3%)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34_2889413557"/>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Occitanie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268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190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Ce dispositif de Chèque Relance Export géré par Business France permet aux entreprises se positionnant à l’international de se voir rembourser jusqu’à 50 % des dépenses éligibles dans la limite de 2000€. </w:t>
              <w:br/>
              <w:t xml:space="preserve"> </w:t>
              <w:br/>
              <w:t xml:space="preserve">L’ouverture à l’international limitée de l’économie lozérienne explique  que cette mesure n’a pas encore trouvé d’écho dans le département.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36_2889413557"/>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Occitanie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401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38_2889413557"/>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La lutte contre le chômage des jeunes et leur insertion professionnelle, notamment par le nouvel élan donné à l’apprentissage, font partie des priorités de ce volet du plan France Relance, desquelles se sont emparés tous les secteurs d’activité, tant marchands que non-marchands. En cela, la Lozère peut compter sur un tissu associatif particulièrement vigoureux . </w:t>
              <w:br/>
              <w:t xml:space="preserve"> </w:t>
              <w:br/>
              <w:t xml:space="preserve">Les dispositifs du volet cohésion du plan France Relance trouvent tous un écho dans le département. Leur ampleur est fonction des caractéristiques de la population lozérienne, notamment de  sa moyenne d’âge.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40_2889413557"/>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444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417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377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Occitanie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42 393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39 379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35 783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42_2889413557"/>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Occitanie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1 221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744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470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44_2889413557"/>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Occitanie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3 120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2 819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2 471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46_2889413557"/>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75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Occitanie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11 311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9 370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7 600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48_2889413557"/>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Occitanie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1 280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1 124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958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50_2889413557"/>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327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266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230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Occitanie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30 381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26 675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22 990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52_2889413557"/>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Occitanie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1 597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1 321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1 108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54_2889413557"/>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Lozère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Occitanie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7 361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7 361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6 633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31</Pages>
  <Words>2948</Words>
  <Characters>14494</Characters>
  <CharactersWithSpaces>17699</CharactersWithSpaces>
  <Paragraphs>670</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2021-07-12T18:30:53Z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