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Maine-et-Loire</w:t>
      </w:r>
    </w:p>
    <w:p>
      <w:pPr>
        <w:pStyle w:val="Normal"/>
        <w:rPr/>
      </w:pPr>
      <w:r>
        <w:rPr>
          <w:rFonts w:cs="Arial" w:ascii="Arial" w:hAnsi="Arial"/>
          <w:i/>
          <w:iCs/>
          <w:sz w:val="40"/>
          <w:szCs w:val="40"/>
        </w:rPr>
        <w:t>Date : 2021-05-05</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9195" cy="139065"/>
                <wp:effectExtent l="0" t="0" r="0" b="0"/>
                <wp:wrapNone/>
                <wp:docPr id="1" name="Forme2"/>
                <a:graphic xmlns:a="http://schemas.openxmlformats.org/drawingml/2006/main">
                  <a:graphicData uri="http://schemas.microsoft.com/office/word/2010/wordprocessingShape">
                    <wps:wsp>
                      <wps:cNvSpPr/>
                      <wps:spPr>
                        <a:xfrm>
                          <a:off x="0" y="0"/>
                          <a:ext cx="752868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7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rFonts w:ascii="Arial" w:hAnsi="Arial" w:eastAsia="Calibri" w:cs="Arial"/>
          <w:color w:val="00000A"/>
          <w:kern w:val="0"/>
          <w:sz w:val="20"/>
          <w:szCs w:val="20"/>
          <w:lang w:val="fr-FR" w:eastAsia="en-US" w:bidi="ar-SA"/>
        </w:rPr>
      </w:pPr>
      <w:r>
        <w:rPr>
          <w:rFonts w:eastAsia="Calibri" w:cs="Arial" w:ascii="Arial" w:hAnsi="Arial"/>
          <w:color w:val="00000A"/>
          <w:kern w:val="0"/>
          <w:sz w:val="20"/>
          <w:szCs w:val="20"/>
          <w:lang w:val="fr-FR" w:eastAsia="en-US" w:bidi="ar-SA"/>
        </w:rPr>
        <mc:AlternateContent>
          <mc:Choice Requires="wps">
            <w:drawing>
              <wp:anchor behindDoc="0" distT="0" distB="0" distL="0" distR="0" simplePos="0" locked="0" layoutInCell="1" allowOverlap="1" relativeHeight="116">
                <wp:simplePos x="0" y="0"/>
                <wp:positionH relativeFrom="column">
                  <wp:posOffset>-91440</wp:posOffset>
                </wp:positionH>
                <wp:positionV relativeFrom="paragraph">
                  <wp:posOffset>197485</wp:posOffset>
                </wp:positionV>
                <wp:extent cx="5926455" cy="3498850"/>
                <wp:effectExtent l="0" t="0" r="0" b="0"/>
                <wp:wrapNone/>
                <wp:docPr id="3" name="Forme3"/>
                <a:graphic xmlns:a="http://schemas.openxmlformats.org/drawingml/2006/main">
                  <a:graphicData uri="http://schemas.microsoft.com/office/word/2010/wordprocessingShape">
                    <wps:wsp>
                      <wps:cNvSpPr/>
                      <wps:spPr>
                        <a:xfrm>
                          <a:off x="0" y="0"/>
                          <a:ext cx="5925960" cy="3498120"/>
                        </a:xfrm>
                        <a:prstGeom prst="rect">
                          <a:avLst/>
                        </a:prstGeom>
                        <a:noFill/>
                        <a:ln>
                          <a:solidFill>
                            <a:srgbClr val="000000"/>
                          </a:solidFill>
                        </a:ln>
                      </wps:spPr>
                      <wps:style>
                        <a:lnRef idx="0"/>
                        <a:fillRef idx="0"/>
                        <a:effectRef idx="0"/>
                        <a:fontRef idx="minor"/>
                      </wps:style>
                      <wps:txbx>
                        <w:txbxContent>
                          <w:p>
                            <w:pPr>
                              <w:pStyle w:val="Contenudecadre"/>
                              <w:overflowPunct w:val="false"/>
                              <w:bidi w:val="0"/>
                              <w:spacing w:lineRule="auto" w:line="240" w:before="156" w:after="156"/>
                              <w:ind w:left="105" w:right="105" w:hanging="0"/>
                              <w:jc w:val="left"/>
                              <w:rPr/>
                            </w:pPr>
                            <w:r>
                              <w:rPr>
                                <w:rFonts w:eastAsia="Calibri" w:cs="" w:cstheme="minorBidi" w:eastAsiaTheme="minorHAnsi"/>
                                <w:b/>
                                <w:bCs/>
                                <w:color w:val="00000A"/>
                                <w:sz w:val="22"/>
                                <w:szCs w:val="22"/>
                              </w:rPr>
                              <w:t>Commentaires généraux :</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En Maine-et-Loire, concernant le soutien à la rénovation énergétique du patrimoine immobilier des pouvoirs publics, 55 bâtiments de l’État sont retenus pour bénéficier d’un coup de pouce financier, les plus emblématiques étant le Bâtiment D de la cité administrative (3,2 M€), la cour d’appel d’Angers, ou encore des sites de la gendarmerie nationale, de la police nationale et de la DDFIP pour près de 3M€.</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Ce soutien financier concerne bien évidemment, également, les particuliers, à travers le programme MaPrimRénov’ qui remplace le crédit d’impôt pour la transition énergétique (CITE) et les aides de l’Agence nationale de l’Habitat (ANAH). MaPrimeRénov', qui est accessible à tous les propriétaires et à toutes les copropriétés, concerne déjà près de 2000 projets dans le département.</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 xml:space="preserve">Troisième axe intéressant autant les administrations que les entreprises et les particuliers : il n’y aurait pas de bonne politique de transition écologique sans un effort spécifique sur la mobilité et la transformation du parc automobile : 3319 bonus écologiques et primes à la conversion ont ainsi été accordés en Maine-et-Loire depuis le lancement du dispositif. </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 xml:space="preserve">Le parc automobile de l’État sera quant à lui modernisé avec la livraison en 2021 de </w:t>
                            </w:r>
                            <w:r>
                              <w:rPr>
                                <w:rFonts w:eastAsia="Times New Roman" w:cs="" w:cstheme="minorBidi"/>
                                <w:color w:val="00000A"/>
                                <w:sz w:val="22"/>
                                <w:szCs w:val="22"/>
                              </w:rPr>
                              <w:t>1300 véhicules électriques, ainsi que les bornes de recharge qui vont avec.</w:t>
                            </w:r>
                          </w:p>
                          <w:p>
                            <w:pPr>
                              <w:pStyle w:val="Contenudecadre"/>
                              <w:overflowPunct w:val="false"/>
                              <w:bidi w:val="0"/>
                              <w:spacing w:lineRule="auto" w:line="240" w:before="156" w:after="156"/>
                              <w:ind w:left="105" w:right="105" w:hanging="0"/>
                              <w:jc w:val="both"/>
                              <w:rPr/>
                            </w:pPr>
                            <w:r>
                              <w:rPr/>
                            </w:r>
                          </w:p>
                        </w:txbxContent>
                      </wps:txbx>
                      <wps:bodyPr lIns="0" rIns="0" tIns="0" bIns="0">
                        <a:spAutoFit/>
                      </wps:bodyPr>
                    </wps:wsp>
                  </a:graphicData>
                </a:graphic>
              </wp:anchor>
            </w:drawing>
          </mc:Choice>
          <mc:Fallback>
            <w:pict>
              <v:rect id="shape_0" ID="Forme3" stroked="t" style="position:absolute;margin-left:-7.2pt;margin-top:15.55pt;width:466.55pt;height:275.4pt">
                <w10:wrap type="square"/>
                <v:fill o:detectmouseclick="t" on="false"/>
                <v:stroke color="black" joinstyle="round" endcap="flat"/>
                <v:textbox>
                  <w:txbxContent>
                    <w:p>
                      <w:pPr>
                        <w:pStyle w:val="Contenudecadre"/>
                        <w:overflowPunct w:val="false"/>
                        <w:bidi w:val="0"/>
                        <w:spacing w:lineRule="auto" w:line="240" w:before="156" w:after="156"/>
                        <w:ind w:left="105" w:right="105" w:hanging="0"/>
                        <w:jc w:val="left"/>
                        <w:rPr/>
                      </w:pPr>
                      <w:r>
                        <w:rPr>
                          <w:rFonts w:eastAsia="Calibri" w:cs="" w:cstheme="minorBidi" w:eastAsiaTheme="minorHAnsi"/>
                          <w:b/>
                          <w:bCs/>
                          <w:color w:val="00000A"/>
                          <w:sz w:val="22"/>
                          <w:szCs w:val="22"/>
                        </w:rPr>
                        <w:t>Commentaires généraux :</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En Maine-et-Loire, concernant le soutien à la rénovation énergétique du patrimoine immobilier des pouvoirs publics, 55 bâtiments de l’État sont retenus pour bénéficier d’un coup de pouce financier, les plus emblématiques étant le Bâtiment D de la cité administrative (3,2 M€), la cour d’appel d’Angers, ou encore des sites de la gendarmerie nationale, de la police nationale et de la DDFIP pour près de 3M€.</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Ce soutien financier concerne bien évidemment, également, les particuliers, à travers le programme MaPrimRénov’ qui remplace le crédit d’impôt pour la transition énergétique (CITE) et les aides de l’Agence nationale de l’Habitat (ANAH). MaPrimeRénov', qui est accessible à tous les propriétaires et à toutes les copropriétés, concerne déjà près de 2000 projets dans le département.</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 xml:space="preserve">Troisième axe intéressant autant les administrations que les entreprises et les particuliers : il n’y aurait pas de bonne politique de transition écologique sans un effort spécifique sur la mobilité et la transformation du parc automobile : 3319 bonus écologiques et primes à la conversion ont ainsi été accordés en Maine-et-Loire depuis le lancement du dispositif. </w:t>
                      </w:r>
                    </w:p>
                    <w:p>
                      <w:pPr>
                        <w:pStyle w:val="Contenudecadre"/>
                        <w:overflowPunct w:val="false"/>
                        <w:bidi w:val="0"/>
                        <w:spacing w:lineRule="auto" w:line="240" w:before="156" w:after="156"/>
                        <w:ind w:left="105" w:right="105" w:hanging="0"/>
                        <w:jc w:val="both"/>
                        <w:rPr/>
                      </w:pPr>
                      <w:r>
                        <w:rPr>
                          <w:rFonts w:eastAsia="Calibri" w:cs="" w:cstheme="minorBidi" w:eastAsiaTheme="minorHAnsi"/>
                          <w:color w:val="00000A"/>
                          <w:sz w:val="22"/>
                          <w:szCs w:val="22"/>
                        </w:rPr>
                        <w:t xml:space="preserve">Le parc automobile de l’État sera quant à lui modernisé avec la livraison en 2021 de </w:t>
                      </w:r>
                      <w:r>
                        <w:rPr>
                          <w:rFonts w:eastAsia="Times New Roman" w:cs="" w:cstheme="minorBidi"/>
                          <w:color w:val="00000A"/>
                          <w:sz w:val="22"/>
                          <w:szCs w:val="22"/>
                        </w:rPr>
                        <w:t>1300 véhicules électriques, ainsi que les bornes de recharge qui vont avec.</w:t>
                      </w:r>
                    </w:p>
                    <w:p>
                      <w:pPr>
                        <w:pStyle w:val="Contenudecadre"/>
                        <w:overflowPunct w:val="false"/>
                        <w:bidi w:val="0"/>
                        <w:spacing w:lineRule="auto" w:line="240" w:before="156" w:after="156"/>
                        <w:ind w:left="105" w:right="105" w:hanging="0"/>
                        <w:jc w:val="both"/>
                        <w:rPr/>
                      </w:pPr>
                      <w:r>
                        <w:rPr/>
                      </w:r>
                    </w:p>
                  </w:txbxContent>
                </v:textbox>
              </v:rect>
            </w:pict>
          </mc:Fallback>
        </mc:AlternateContent>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pPr>
      <w:r>
        <w:rPr>
          <w:rFonts w:cs="Arial" w:ascii="Arial" w:hAnsi="Arial"/>
          <w:sz w:val="20"/>
          <w:szCs w:val="20"/>
        </w:rPr>
        <w:t>Mars     2021, Montant total des primes versées : 2.6 M€</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56"/>
        <w:gridCol w:w="1437"/>
        <w:gridCol w:w="1882"/>
        <w:gridCol w:w="1882"/>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6"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6"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6"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6"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Pays de la Loire</w:t>
            </w:r>
          </w:p>
        </w:tc>
      </w:tr>
      <w:tr>
        <w:trPr>
          <w:trHeight w:val="450"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11.0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83.0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9217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4126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49.8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5556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2179  </w:t>
            </w:r>
          </w:p>
        </w:tc>
      </w:tr>
      <w:tr>
        <w:trPr>
          <w:trHeight w:val="545"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21.7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1560"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19.4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1971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914  </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 M€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1196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499  </w:t>
            </w:r>
          </w:p>
        </w:tc>
      </w:tr>
      <w:tr>
        <w:trPr>
          <w:trHeight w:val="617" w:hRule="atLeast"/>
        </w:trPr>
        <w:tc>
          <w:tcPr>
            <w:tcW w:w="156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717.1 k€  </w:t>
            </w:r>
          </w:p>
        </w:tc>
        <w:tc>
          <w:tcPr>
            <w:tcW w:w="1426"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5.5 M€  </w:t>
            </w:r>
          </w:p>
        </w:tc>
        <w:tc>
          <w:tcPr>
            <w:tcW w:w="188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208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87415" cy="2263140"/>
                <wp:effectExtent l="0" t="0" r="0" b="0"/>
                <wp:wrapNone/>
                <wp:docPr id="5" name="Forme2"/>
                <a:graphic xmlns:a="http://schemas.openxmlformats.org/drawingml/2006/main">
                  <a:graphicData uri="http://schemas.microsoft.com/office/word/2010/wordprocessingShape">
                    <wps:wsp>
                      <wps:cNvSpPr/>
                      <wps:spPr>
                        <a:xfrm>
                          <a:off x="0" y="0"/>
                          <a:ext cx="5986800" cy="22626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1.35pt;height:178.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50785" cy="139065"/>
                <wp:effectExtent l="0" t="0" r="0" b="0"/>
                <wp:wrapNone/>
                <wp:docPr id="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87415" cy="2263140"/>
                <wp:effectExtent l="0" t="0" r="0" b="0"/>
                <wp:wrapNone/>
                <wp:docPr id="8" name="Cadre1"/>
                <a:graphic xmlns:a="http://schemas.openxmlformats.org/drawingml/2006/main">
                  <a:graphicData uri="http://schemas.microsoft.com/office/word/2010/wordprocessingShape">
                    <wps:wsp>
                      <wps:cNvSpPr/>
                      <wps:spPr>
                        <a:xfrm>
                          <a:off x="0" y="0"/>
                          <a:ext cx="5986800" cy="2262600"/>
                        </a:xfrm>
                        <a:prstGeom prst="rect">
                          <a:avLst/>
                        </a:prstGeom>
                        <a:noFill/>
                        <a:ln>
                          <a:noFill/>
                        </a:ln>
                      </wps:spPr>
                      <wps:style>
                        <a:lnRef idx="0"/>
                        <a:fillRef idx="0"/>
                        <a:effectRef idx="0"/>
                        <a:fontRef idx="minor"/>
                      </wps:style>
                      <wps:txbx>
                        <w:txbxContent>
                          <w:p>
                            <w:pPr>
                              <w:pStyle w:val="Normal"/>
                              <w:overflowPunct w:val="true"/>
                              <w:spacing w:lineRule="auto" w:line="240" w:before="0" w:after="0"/>
                              <w:rPr>
                                <w:rFonts w:ascii="Calibri" w:hAnsi="Calibri" w:eastAsia="Calibri" w:cs="" w:cstheme="minorBidi" w:eastAsiaTheme="minorHAnsi"/>
                                <w:b/>
                                <w:b/>
                                <w:bCs/>
                                <w:color w:val="00000A"/>
                                <w:kern w:val="0"/>
                                <w:sz w:val="20"/>
                                <w:szCs w:val="20"/>
                                <w:lang w:val="fr-FR" w:eastAsia="en-US" w:bidi="ar-SA"/>
                              </w:rPr>
                            </w:pPr>
                            <w:r>
                              <w:rPr>
                                <w:rFonts w:eastAsia="Calibri" w:cs="" w:cstheme="minorBidi" w:eastAsiaTheme="minorHAnsi"/>
                                <w:b/>
                                <w:bCs/>
                                <w:color w:val="00000A"/>
                                <w:kern w:val="0"/>
                                <w:sz w:val="20"/>
                                <w:szCs w:val="20"/>
                                <w:lang w:val="fr-FR" w:eastAsia="en-US" w:bidi="ar-SA"/>
                              </w:rPr>
                              <w:t>Espace Commentaires :</w:t>
                            </w:r>
                          </w:p>
                          <w:p>
                            <w:pPr>
                              <w:pStyle w:val="Normal"/>
                              <w:overflowPunct w:val="true"/>
                              <w:spacing w:lineRule="auto" w:line="240" w:before="0" w:after="0"/>
                              <w:rPr>
                                <w:rFonts w:cs="" w:cstheme="minorBidi"/>
                              </w:rPr>
                            </w:pPr>
                            <w:r>
                              <w:rPr>
                                <w:rFonts w:cs="" w:cstheme="minorBidi"/>
                              </w:rPr>
                            </w:r>
                          </w:p>
                          <w:p>
                            <w:pPr>
                              <w:pStyle w:val="Normal"/>
                              <w:overflowPunct w:val="true"/>
                              <w:spacing w:lineRule="auto" w:line="240" w:before="0" w:after="0"/>
                              <w:rPr>
                                <w:rFonts w:ascii="Calibri" w:hAnsi="Calibri" w:eastAsia="Times New Roman" w:cs="Calibri"/>
                                <w:b w:val="false"/>
                                <w:b w:val="false"/>
                                <w:bCs w:val="false"/>
                                <w:color w:val="00000A"/>
                                <w:kern w:val="0"/>
                                <w:sz w:val="20"/>
                                <w:szCs w:val="20"/>
                                <w:lang w:val="fr-FR" w:eastAsia="en-US" w:bidi="ar-SA"/>
                              </w:rPr>
                            </w:pPr>
                            <w:r>
                              <w:rPr>
                                <w:rFonts w:eastAsia="Times New Roman" w:cs="Calibri"/>
                                <w:b w:val="false"/>
                                <w:bCs w:val="false"/>
                                <w:color w:val="00000A"/>
                                <w:kern w:val="0"/>
                                <w:sz w:val="20"/>
                                <w:szCs w:val="20"/>
                                <w:lang w:val="fr-FR" w:eastAsia="en-US" w:bidi="ar-SA"/>
                              </w:rPr>
                              <w:t>Le dispositif « décolle » : c'est un accélérateur incroyable. Les chiffres locaux sont particulièrement élevés et la tendance est exponentielle.</w:t>
                            </w:r>
                          </w:p>
                          <w:p>
                            <w:pPr>
                              <w:pStyle w:val="Corpsdetexte"/>
                              <w:spacing w:lineRule="auto" w:line="240" w:before="0" w:after="0"/>
                              <w:rPr/>
                            </w:pPr>
                            <w:r>
                              <w:rPr>
                                <w:rFonts w:eastAsia="Times New Roman" w:cs="Calibri"/>
                                <w:b w:val="false"/>
                                <w:bCs w:val="false"/>
                                <w:color w:val="00000A"/>
                                <w:kern w:val="0"/>
                                <w:sz w:val="20"/>
                                <w:szCs w:val="20"/>
                                <w:lang w:val="fr-FR" w:eastAsia="en-US" w:bidi="ar-SA"/>
                              </w:rPr>
                              <w:t xml:space="preserve">En 2021, le dispositif Ma Prime Rénov’ (MPR) s’est ouvert à tous les propriétaires occupants sans plafond de ressources. </w:t>
                            </w:r>
                            <w:r>
                              <w:rPr>
                                <w:rFonts w:eastAsia="Times New Roman" w:cs="Calibri"/>
                                <w:b w:val="false"/>
                                <w:bCs w:val="false"/>
                                <w:color w:val="00000A"/>
                                <w:kern w:val="0"/>
                                <w:sz w:val="20"/>
                                <w:szCs w:val="20"/>
                                <w:lang w:val="fr-FR" w:eastAsia="en-US" w:bidi="ar-SA"/>
                              </w:rPr>
                              <w:t>L</w:t>
                            </w:r>
                            <w:r>
                              <w:rPr>
                                <w:rFonts w:eastAsia="Times New Roman" w:cs="Calibri"/>
                                <w:b w:val="false"/>
                                <w:bCs w:val="false"/>
                                <w:color w:val="00000A"/>
                                <w:kern w:val="0"/>
                                <w:sz w:val="20"/>
                                <w:szCs w:val="20"/>
                                <w:lang w:val="fr-FR" w:eastAsia="en-US" w:bidi="ar-SA"/>
                              </w:rPr>
                              <w:t>es foyers modestes et très modestes représentent respectivement pour ce début 2021 : 901 et 917 dossiers soit 1818 en tout pour un total de 5,5M€ de travaux.</w:t>
                            </w:r>
                          </w:p>
                          <w:p>
                            <w:pPr>
                              <w:pStyle w:val="Corpsdetexte"/>
                              <w:spacing w:lineRule="auto" w:line="240" w:before="0" w:after="0"/>
                              <w:rPr>
                                <w:rFonts w:ascii="Calibri" w:hAnsi="Calibri" w:eastAsia="Times New Roman" w:cs="Calibri"/>
                                <w:b w:val="false"/>
                                <w:b w:val="false"/>
                                <w:bCs w:val="false"/>
                                <w:color w:val="00000A"/>
                                <w:kern w:val="0"/>
                                <w:sz w:val="20"/>
                                <w:szCs w:val="20"/>
                                <w:lang w:val="fr-FR" w:eastAsia="en-US" w:bidi="ar-SA"/>
                              </w:rPr>
                            </w:pPr>
                            <w:r>
                              <w:rPr>
                                <w:rFonts w:eastAsia="Times New Roman" w:cs="Calibri"/>
                                <w:b w:val="false"/>
                                <w:bCs w:val="false"/>
                                <w:color w:val="00000A"/>
                                <w:kern w:val="0"/>
                                <w:sz w:val="20"/>
                                <w:szCs w:val="20"/>
                                <w:lang w:val="fr-FR" w:eastAsia="en-US" w:bidi="ar-SA"/>
                              </w:rPr>
                              <w:t xml:space="preserve"> </w:t>
                            </w:r>
                            <w:r>
                              <w:rPr>
                                <w:rFonts w:eastAsia="Times New Roman" w:cs="Calibri"/>
                                <w:b w:val="false"/>
                                <w:bCs w:val="false"/>
                                <w:color w:val="00000A"/>
                                <w:kern w:val="0"/>
                                <w:sz w:val="20"/>
                                <w:szCs w:val="20"/>
                                <w:lang w:val="fr-FR" w:eastAsia="en-US" w:bidi="ar-SA"/>
                              </w:rPr>
                              <w:t xml:space="preserve">En comparaison, en 2020, l’ANAH dite « classique » par les OPAH, OPAH-RU et les PIG départementaux ont permis la réalisation de 892 dossiers pour 7,7M€ de subvention (2180 dossiers en 2019 avec le dispositif agilité pour 11 M€ de subvention). </w:t>
                            </w:r>
                          </w:p>
                          <w:p>
                            <w:pPr>
                              <w:pStyle w:val="Corpsdetexte"/>
                              <w:spacing w:lineRule="auto" w:line="240" w:before="0" w:after="0"/>
                              <w:rPr>
                                <w:rFonts w:ascii="Calibri" w:hAnsi="Calibri" w:eastAsia="Times New Roman" w:cs="Calibri"/>
                                <w:b w:val="false"/>
                                <w:b w:val="false"/>
                                <w:bCs w:val="false"/>
                                <w:color w:val="00000A"/>
                                <w:kern w:val="0"/>
                                <w:sz w:val="20"/>
                                <w:szCs w:val="20"/>
                                <w:lang w:val="fr-FR" w:eastAsia="en-US" w:bidi="ar-SA"/>
                              </w:rPr>
                            </w:pPr>
                            <w:r>
                              <w:rPr>
                                <w:rFonts w:eastAsia="Times New Roman" w:cs="Calibri"/>
                                <w:b w:val="false"/>
                                <w:bCs w:val="false"/>
                                <w:color w:val="00000A"/>
                                <w:kern w:val="0"/>
                                <w:sz w:val="20"/>
                                <w:szCs w:val="20"/>
                                <w:lang w:val="fr-FR" w:eastAsia="en-US" w:bidi="ar-SA"/>
                              </w:rPr>
                              <w:t>La simplification de l’accès aux aides a engendré une massification indéniable des travaux d’économie d’énergie sans pour autant faire concurrence directe aux aides de l’ANAH « classiques » qui se maintiennent à un haut niveau notamment dans les agglomérations (au 1</w:t>
                            </w:r>
                            <w:r>
                              <w:rPr>
                                <w:rFonts w:eastAsia="Times New Roman" w:cs="Calibri"/>
                                <w:b w:val="false"/>
                                <w:bCs w:val="false"/>
                                <w:color w:val="00000A"/>
                                <w:kern w:val="0"/>
                                <w:position w:val="8"/>
                                <w:sz w:val="20"/>
                                <w:szCs w:val="20"/>
                                <w:lang w:val="fr-FR" w:eastAsia="en-US" w:bidi="ar-SA"/>
                              </w:rPr>
                              <w:t>er</w:t>
                            </w:r>
                            <w:r>
                              <w:rPr>
                                <w:rFonts w:eastAsia="Times New Roman" w:cs="Calibri"/>
                                <w:b w:val="false"/>
                                <w:bCs w:val="false"/>
                                <w:color w:val="00000A"/>
                                <w:kern w:val="0"/>
                                <w:sz w:val="20"/>
                                <w:szCs w:val="20"/>
                                <w:lang w:val="fr-FR" w:eastAsia="en-US" w:bidi="ar-SA"/>
                              </w:rPr>
                              <w:t xml:space="preserve"> mai 2021 : plus de 400 dossiers pour 4,5M€ de travaux).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1.35pt;height:178.1pt">
                <w10:wrap type="square"/>
                <v:fill o:detectmouseclick="t" on="false"/>
                <v:stroke color="#3465a4" joinstyle="round" endcap="flat"/>
                <v:textbox>
                  <w:txbxContent>
                    <w:p>
                      <w:pPr>
                        <w:pStyle w:val="Normal"/>
                        <w:overflowPunct w:val="true"/>
                        <w:spacing w:lineRule="auto" w:line="240" w:before="0" w:after="0"/>
                        <w:rPr>
                          <w:rFonts w:ascii="Calibri" w:hAnsi="Calibri" w:eastAsia="Calibri" w:cs="" w:cstheme="minorBidi" w:eastAsiaTheme="minorHAnsi"/>
                          <w:b/>
                          <w:b/>
                          <w:bCs/>
                          <w:color w:val="00000A"/>
                          <w:kern w:val="0"/>
                          <w:sz w:val="20"/>
                          <w:szCs w:val="20"/>
                          <w:lang w:val="fr-FR" w:eastAsia="en-US" w:bidi="ar-SA"/>
                        </w:rPr>
                      </w:pPr>
                      <w:r>
                        <w:rPr>
                          <w:rFonts w:eastAsia="Calibri" w:cs="" w:cstheme="minorBidi" w:eastAsiaTheme="minorHAnsi"/>
                          <w:b/>
                          <w:bCs/>
                          <w:color w:val="00000A"/>
                          <w:kern w:val="0"/>
                          <w:sz w:val="20"/>
                          <w:szCs w:val="20"/>
                          <w:lang w:val="fr-FR" w:eastAsia="en-US" w:bidi="ar-SA"/>
                        </w:rPr>
                        <w:t>Espace Commentaires :</w:t>
                      </w:r>
                    </w:p>
                    <w:p>
                      <w:pPr>
                        <w:pStyle w:val="Normal"/>
                        <w:overflowPunct w:val="true"/>
                        <w:spacing w:lineRule="auto" w:line="240" w:before="0" w:after="0"/>
                        <w:rPr>
                          <w:rFonts w:cs="" w:cstheme="minorBidi"/>
                        </w:rPr>
                      </w:pPr>
                      <w:r>
                        <w:rPr>
                          <w:rFonts w:cs="" w:cstheme="minorBidi"/>
                        </w:rPr>
                      </w:r>
                    </w:p>
                    <w:p>
                      <w:pPr>
                        <w:pStyle w:val="Normal"/>
                        <w:overflowPunct w:val="true"/>
                        <w:spacing w:lineRule="auto" w:line="240" w:before="0" w:after="0"/>
                        <w:rPr>
                          <w:rFonts w:ascii="Calibri" w:hAnsi="Calibri" w:eastAsia="Times New Roman" w:cs="Calibri"/>
                          <w:b w:val="false"/>
                          <w:b w:val="false"/>
                          <w:bCs w:val="false"/>
                          <w:color w:val="00000A"/>
                          <w:kern w:val="0"/>
                          <w:sz w:val="20"/>
                          <w:szCs w:val="20"/>
                          <w:lang w:val="fr-FR" w:eastAsia="en-US" w:bidi="ar-SA"/>
                        </w:rPr>
                      </w:pPr>
                      <w:r>
                        <w:rPr>
                          <w:rFonts w:eastAsia="Times New Roman" w:cs="Calibri"/>
                          <w:b w:val="false"/>
                          <w:bCs w:val="false"/>
                          <w:color w:val="00000A"/>
                          <w:kern w:val="0"/>
                          <w:sz w:val="20"/>
                          <w:szCs w:val="20"/>
                          <w:lang w:val="fr-FR" w:eastAsia="en-US" w:bidi="ar-SA"/>
                        </w:rPr>
                        <w:t>Le dispositif « décolle » : c'est un accélérateur incroyable. Les chiffres locaux sont particulièrement élevés et la tendance est exponentielle.</w:t>
                      </w:r>
                    </w:p>
                    <w:p>
                      <w:pPr>
                        <w:pStyle w:val="Corpsdetexte"/>
                        <w:spacing w:lineRule="auto" w:line="240" w:before="0" w:after="0"/>
                        <w:rPr/>
                      </w:pPr>
                      <w:r>
                        <w:rPr>
                          <w:rFonts w:eastAsia="Times New Roman" w:cs="Calibri"/>
                          <w:b w:val="false"/>
                          <w:bCs w:val="false"/>
                          <w:color w:val="00000A"/>
                          <w:kern w:val="0"/>
                          <w:sz w:val="20"/>
                          <w:szCs w:val="20"/>
                          <w:lang w:val="fr-FR" w:eastAsia="en-US" w:bidi="ar-SA"/>
                        </w:rPr>
                        <w:t xml:space="preserve">En 2021, le dispositif Ma Prime Rénov’ (MPR) s’est ouvert à tous les propriétaires occupants sans plafond de ressources. </w:t>
                      </w:r>
                      <w:r>
                        <w:rPr>
                          <w:rFonts w:eastAsia="Times New Roman" w:cs="Calibri"/>
                          <w:b w:val="false"/>
                          <w:bCs w:val="false"/>
                          <w:color w:val="00000A"/>
                          <w:kern w:val="0"/>
                          <w:sz w:val="20"/>
                          <w:szCs w:val="20"/>
                          <w:lang w:val="fr-FR" w:eastAsia="en-US" w:bidi="ar-SA"/>
                        </w:rPr>
                        <w:t>L</w:t>
                      </w:r>
                      <w:r>
                        <w:rPr>
                          <w:rFonts w:eastAsia="Times New Roman" w:cs="Calibri"/>
                          <w:b w:val="false"/>
                          <w:bCs w:val="false"/>
                          <w:color w:val="00000A"/>
                          <w:kern w:val="0"/>
                          <w:sz w:val="20"/>
                          <w:szCs w:val="20"/>
                          <w:lang w:val="fr-FR" w:eastAsia="en-US" w:bidi="ar-SA"/>
                        </w:rPr>
                        <w:t>es foyers modestes et très modestes représentent respectivement pour ce début 2021 : 901 et 917 dossiers soit 1818 en tout pour un total de 5,5M€ de travaux.</w:t>
                      </w:r>
                    </w:p>
                    <w:p>
                      <w:pPr>
                        <w:pStyle w:val="Corpsdetexte"/>
                        <w:spacing w:lineRule="auto" w:line="240" w:before="0" w:after="0"/>
                        <w:rPr>
                          <w:rFonts w:ascii="Calibri" w:hAnsi="Calibri" w:eastAsia="Times New Roman" w:cs="Calibri"/>
                          <w:b w:val="false"/>
                          <w:b w:val="false"/>
                          <w:bCs w:val="false"/>
                          <w:color w:val="00000A"/>
                          <w:kern w:val="0"/>
                          <w:sz w:val="20"/>
                          <w:szCs w:val="20"/>
                          <w:lang w:val="fr-FR" w:eastAsia="en-US" w:bidi="ar-SA"/>
                        </w:rPr>
                      </w:pPr>
                      <w:r>
                        <w:rPr>
                          <w:rFonts w:eastAsia="Times New Roman" w:cs="Calibri"/>
                          <w:b w:val="false"/>
                          <w:bCs w:val="false"/>
                          <w:color w:val="00000A"/>
                          <w:kern w:val="0"/>
                          <w:sz w:val="20"/>
                          <w:szCs w:val="20"/>
                          <w:lang w:val="fr-FR" w:eastAsia="en-US" w:bidi="ar-SA"/>
                        </w:rPr>
                        <w:t xml:space="preserve"> </w:t>
                      </w:r>
                      <w:r>
                        <w:rPr>
                          <w:rFonts w:eastAsia="Times New Roman" w:cs="Calibri"/>
                          <w:b w:val="false"/>
                          <w:bCs w:val="false"/>
                          <w:color w:val="00000A"/>
                          <w:kern w:val="0"/>
                          <w:sz w:val="20"/>
                          <w:szCs w:val="20"/>
                          <w:lang w:val="fr-FR" w:eastAsia="en-US" w:bidi="ar-SA"/>
                        </w:rPr>
                        <w:t xml:space="preserve">En comparaison, en 2020, l’ANAH dite « classique » par les OPAH, OPAH-RU et les PIG départementaux ont permis la réalisation de 892 dossiers pour 7,7M€ de subvention (2180 dossiers en 2019 avec le dispositif agilité pour 11 M€ de subvention). </w:t>
                      </w:r>
                    </w:p>
                    <w:p>
                      <w:pPr>
                        <w:pStyle w:val="Corpsdetexte"/>
                        <w:spacing w:lineRule="auto" w:line="240" w:before="0" w:after="0"/>
                        <w:rPr>
                          <w:rFonts w:ascii="Calibri" w:hAnsi="Calibri" w:eastAsia="Times New Roman" w:cs="Calibri"/>
                          <w:b w:val="false"/>
                          <w:b w:val="false"/>
                          <w:bCs w:val="false"/>
                          <w:color w:val="00000A"/>
                          <w:kern w:val="0"/>
                          <w:sz w:val="20"/>
                          <w:szCs w:val="20"/>
                          <w:lang w:val="fr-FR" w:eastAsia="en-US" w:bidi="ar-SA"/>
                        </w:rPr>
                      </w:pPr>
                      <w:r>
                        <w:rPr>
                          <w:rFonts w:eastAsia="Times New Roman" w:cs="Calibri"/>
                          <w:b w:val="false"/>
                          <w:bCs w:val="false"/>
                          <w:color w:val="00000A"/>
                          <w:kern w:val="0"/>
                          <w:sz w:val="20"/>
                          <w:szCs w:val="20"/>
                          <w:lang w:val="fr-FR" w:eastAsia="en-US" w:bidi="ar-SA"/>
                        </w:rPr>
                        <w:t>La simplification de l’accès aux aides a engendré une massification indéniable des travaux d’économie d’énergie sans pour autant faire concurrence directe aux aides de l’ANAH « classiques » qui se maintiennent à un haut niveau notamment dans les agglomérations (au 1</w:t>
                      </w:r>
                      <w:r>
                        <w:rPr>
                          <w:rFonts w:eastAsia="Times New Roman" w:cs="Calibri"/>
                          <w:b w:val="false"/>
                          <w:bCs w:val="false"/>
                          <w:color w:val="00000A"/>
                          <w:kern w:val="0"/>
                          <w:position w:val="8"/>
                          <w:sz w:val="20"/>
                          <w:szCs w:val="20"/>
                          <w:lang w:val="fr-FR" w:eastAsia="en-US" w:bidi="ar-SA"/>
                        </w:rPr>
                        <w:t>er</w:t>
                      </w:r>
                      <w:r>
                        <w:rPr>
                          <w:rFonts w:eastAsia="Times New Roman" w:cs="Calibri"/>
                          <w:b w:val="false"/>
                          <w:bCs w:val="false"/>
                          <w:color w:val="00000A"/>
                          <w:kern w:val="0"/>
                          <w:sz w:val="20"/>
                          <w:szCs w:val="20"/>
                          <w:lang w:val="fr-FR" w:eastAsia="en-US" w:bidi="ar-SA"/>
                        </w:rPr>
                        <w:t xml:space="preserve"> mai 2021 : plus de 400 dossiers pour 4,5M€ de travaux).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1415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6940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3829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1415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6620" cy="2427605"/>
                <wp:effectExtent l="0" t="0" r="0" b="0"/>
                <wp:wrapNone/>
                <wp:docPr id="10"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50785" cy="139065"/>
                <wp:effectExtent l="0" t="0" r="0" b="0"/>
                <wp:wrapNone/>
                <wp:docPr id="1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6620" cy="2653665"/>
                <wp:effectExtent l="0" t="0" r="0" b="0"/>
                <wp:wrapNone/>
                <wp:docPr id="1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6620" cy="2427605"/>
                <wp:effectExtent l="0" t="0" r="0" b="0"/>
                <wp:wrapNone/>
                <wp:docPr id="15"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50785" cy="139065"/>
                <wp:effectExtent l="0" t="0" r="0" b="0"/>
                <wp:wrapNone/>
                <wp:docPr id="1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6620" cy="2653665"/>
                <wp:effectExtent l="0" t="0" r="0" b="0"/>
                <wp:wrapNone/>
                <wp:docPr id="18"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6</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bookmarkEnd w:id="3"/>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6620" cy="2427605"/>
                <wp:effectExtent l="0" t="0" r="0" b="0"/>
                <wp:wrapNone/>
                <wp:docPr id="20"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50785" cy="139065"/>
                <wp:effectExtent l="0" t="0" r="0" b="0"/>
                <wp:wrapNone/>
                <wp:docPr id="2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6620" cy="2653665"/>
                <wp:effectExtent l="0" t="0" r="0" b="0"/>
                <wp:wrapNone/>
                <wp:docPr id="2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Normal"/>
                              <w:overflowPunct w:val="true"/>
                              <w:spacing w:lineRule="auto" w:line="240" w:before="0" w:after="0"/>
                              <w:rPr>
                                <w:sz w:val="20"/>
                                <w:szCs w:val="20"/>
                              </w:rPr>
                            </w:pPr>
                            <w:r>
                              <w:rPr>
                                <w:rFonts w:eastAsia="Calibri" w:cs=""/>
                                <w:b w:val="false"/>
                                <w:bCs/>
                                <w:i w:val="false"/>
                                <w:strike w:val="false"/>
                                <w:dstrike w:val="false"/>
                                <w:outline w:val="false"/>
                                <w:shadow w:val="false"/>
                                <w:color w:val="000000"/>
                                <w:sz w:val="20"/>
                                <w:szCs w:val="20"/>
                                <w:u w:val="none"/>
                                <w:em w:val="none"/>
                              </w:rPr>
                              <w:t>Devill</w:t>
                            </w:r>
                            <w:r>
                              <w:rPr>
                                <w:b w:val="false"/>
                                <w:i w:val="false"/>
                                <w:strike w:val="false"/>
                                <w:dstrike w:val="false"/>
                                <w:outline w:val="false"/>
                                <w:shadow w:val="false"/>
                                <w:color w:val="000000"/>
                                <w:sz w:val="20"/>
                                <w:szCs w:val="20"/>
                                <w:u w:val="none"/>
                                <w:em w:val="none"/>
                              </w:rPr>
                              <w:t xml:space="preserve">é ASC (450 personnes - Baugé en Anjou - Maine et Loire) est spécialisée dans les pièces et sous-ensembles liés à la sécurité passive (renvois de ceintures, airbags, colonnes de direction). L’entreprise réalise 95 % de son CA dans l’automobile. Le projet porte sur les aspects de modernisation, de digitalisation et d’amélioration de la performance environnementale. (environ 1 289 K€). </w:t>
                            </w:r>
                          </w:p>
                          <w:p>
                            <w:pPr>
                              <w:pStyle w:val="Normal"/>
                              <w:overflowPunct w:val="tru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sz w:val="20"/>
                                <w:szCs w:val="20"/>
                              </w:rPr>
                            </w:pPr>
                            <w:r>
                              <w:rPr>
                                <w:rFonts w:eastAsia="Calibri" w:cs="" w:cstheme="minorBidi" w:eastAsiaTheme="minorHAnsi"/>
                                <w:b w:val="false"/>
                                <w:bCs/>
                                <w:i w:val="false"/>
                                <w:strike w:val="false"/>
                                <w:dstrike w:val="false"/>
                                <w:outline w:val="false"/>
                                <w:shadow w:val="false"/>
                                <w:color w:val="000000"/>
                                <w:sz w:val="20"/>
                                <w:szCs w:val="20"/>
                                <w:u w:val="none"/>
                                <w:em w:val="none"/>
                              </w:rPr>
                              <w:t xml:space="preserve">Projet </w:t>
                            </w:r>
                            <w:r>
                              <w:rPr>
                                <w:rFonts w:eastAsia="Calibri" w:cs="" w:cstheme="minorBidi" w:eastAsiaTheme="minorHAnsi"/>
                                <w:b/>
                                <w:bCs/>
                                <w:i w:val="false"/>
                                <w:strike w:val="false"/>
                                <w:dstrike w:val="false"/>
                                <w:outline w:val="false"/>
                                <w:shadow w:val="false"/>
                                <w:color w:val="000000"/>
                                <w:sz w:val="20"/>
                                <w:szCs w:val="20"/>
                                <w:u w:val="none"/>
                                <w:em w:val="none"/>
                              </w:rPr>
                              <w:t>CAF aéro </w:t>
                            </w:r>
                            <w:r>
                              <w:rPr>
                                <w:rFonts w:eastAsia="Calibri" w:cs="" w:cstheme="minorBidi" w:eastAsiaTheme="minorHAnsi"/>
                                <w:b w:val="false"/>
                                <w:bCs/>
                                <w:i w:val="false"/>
                                <w:strike w:val="false"/>
                                <w:dstrike w:val="false"/>
                                <w:outline w:val="false"/>
                                <w:shadow w:val="false"/>
                                <w:color w:val="000000"/>
                                <w:sz w:val="20"/>
                                <w:szCs w:val="20"/>
                                <w:u w:val="none"/>
                                <w:em w:val="none"/>
                              </w:rPr>
                              <w:t>: projet stratégique pour 3 PME portant ce projet : AAS Industrie, Fleury et Commeca ; il s’inscrit pleinement dans les tendances de la filière aéronautique visant l’excellence, la résilience et la compétitivité de sa supply-chain ainsi que la rationalisation du panel fournisseurs recherché par les donneurs d’ordre.</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Normal"/>
                        <w:overflowPunct w:val="true"/>
                        <w:spacing w:lineRule="auto" w:line="240" w:before="0" w:after="0"/>
                        <w:rPr>
                          <w:sz w:val="20"/>
                          <w:szCs w:val="20"/>
                        </w:rPr>
                      </w:pPr>
                      <w:r>
                        <w:rPr>
                          <w:rFonts w:eastAsia="Calibri" w:cs=""/>
                          <w:b w:val="false"/>
                          <w:bCs/>
                          <w:i w:val="false"/>
                          <w:strike w:val="false"/>
                          <w:dstrike w:val="false"/>
                          <w:outline w:val="false"/>
                          <w:shadow w:val="false"/>
                          <w:color w:val="000000"/>
                          <w:sz w:val="20"/>
                          <w:szCs w:val="20"/>
                          <w:u w:val="none"/>
                          <w:em w:val="none"/>
                        </w:rPr>
                        <w:t>Devill</w:t>
                      </w:r>
                      <w:r>
                        <w:rPr>
                          <w:b w:val="false"/>
                          <w:i w:val="false"/>
                          <w:strike w:val="false"/>
                          <w:dstrike w:val="false"/>
                          <w:outline w:val="false"/>
                          <w:shadow w:val="false"/>
                          <w:color w:val="000000"/>
                          <w:sz w:val="20"/>
                          <w:szCs w:val="20"/>
                          <w:u w:val="none"/>
                          <w:em w:val="none"/>
                        </w:rPr>
                        <w:t xml:space="preserve">é ASC (450 personnes - Baugé en Anjou - Maine et Loire) est spécialisée dans les pièces et sous-ensembles liés à la sécurité passive (renvois de ceintures, airbags, colonnes de direction). L’entreprise réalise 95 % de son CA dans l’automobile. Le projet porte sur les aspects de modernisation, de digitalisation et d’amélioration de la performance environnementale. (environ 1 289 K€). </w:t>
                      </w:r>
                    </w:p>
                    <w:p>
                      <w:pPr>
                        <w:pStyle w:val="Normal"/>
                        <w:overflowPunct w:val="tru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sz w:val="20"/>
                          <w:szCs w:val="20"/>
                        </w:rPr>
                      </w:pPr>
                      <w:r>
                        <w:rPr>
                          <w:rFonts w:eastAsia="Calibri" w:cs="" w:cstheme="minorBidi" w:eastAsiaTheme="minorHAnsi"/>
                          <w:b w:val="false"/>
                          <w:bCs/>
                          <w:i w:val="false"/>
                          <w:strike w:val="false"/>
                          <w:dstrike w:val="false"/>
                          <w:outline w:val="false"/>
                          <w:shadow w:val="false"/>
                          <w:color w:val="000000"/>
                          <w:sz w:val="20"/>
                          <w:szCs w:val="20"/>
                          <w:u w:val="none"/>
                          <w:em w:val="none"/>
                        </w:rPr>
                        <w:t xml:space="preserve">Projet </w:t>
                      </w:r>
                      <w:r>
                        <w:rPr>
                          <w:rFonts w:eastAsia="Calibri" w:cs="" w:cstheme="minorBidi" w:eastAsiaTheme="minorHAnsi"/>
                          <w:b/>
                          <w:bCs/>
                          <w:i w:val="false"/>
                          <w:strike w:val="false"/>
                          <w:dstrike w:val="false"/>
                          <w:outline w:val="false"/>
                          <w:shadow w:val="false"/>
                          <w:color w:val="000000"/>
                          <w:sz w:val="20"/>
                          <w:szCs w:val="20"/>
                          <w:u w:val="none"/>
                          <w:em w:val="none"/>
                        </w:rPr>
                        <w:t>CAF aéro </w:t>
                      </w:r>
                      <w:r>
                        <w:rPr>
                          <w:rFonts w:eastAsia="Calibri" w:cs="" w:cstheme="minorBidi" w:eastAsiaTheme="minorHAnsi"/>
                          <w:b w:val="false"/>
                          <w:bCs/>
                          <w:i w:val="false"/>
                          <w:strike w:val="false"/>
                          <w:dstrike w:val="false"/>
                          <w:outline w:val="false"/>
                          <w:shadow w:val="false"/>
                          <w:color w:val="000000"/>
                          <w:sz w:val="20"/>
                          <w:szCs w:val="20"/>
                          <w:u w:val="none"/>
                          <w:em w:val="none"/>
                        </w:rPr>
                        <w:t>: projet stratégique pour 3 PME portant ce projet : AAS Industrie, Fleury et Commeca ; il s’inscrit pleinement dans les tendances de la filière aéronautique visant l’excellence, la résilience et la compétitivité de sa supply-chain ainsi que la rationalisation du panel fournisseurs recherché par les donneurs d’ordre.</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2203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11209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10508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7618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2203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2075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1970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6620" cy="2427605"/>
                <wp:effectExtent l="0" t="0" r="0" b="0"/>
                <wp:wrapNone/>
                <wp:docPr id="25"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50785" cy="139065"/>
                <wp:effectExtent l="0" t="0" r="0" b="0"/>
                <wp:wrapNone/>
                <wp:docPr id="2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6620" cy="2653665"/>
                <wp:effectExtent l="0" t="0" r="0" b="0"/>
                <wp:wrapNone/>
                <wp:docPr id="28"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2</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bookmarkEnd w:id="5"/>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6620" cy="2427605"/>
                <wp:effectExtent l="0" t="0" r="0" b="0"/>
                <wp:wrapNone/>
                <wp:docPr id="30"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50785" cy="139065"/>
                <wp:effectExtent l="0" t="0" r="0" b="0"/>
                <wp:wrapNone/>
                <wp:docPr id="3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6620" cy="2653665"/>
                <wp:effectExtent l="0" t="0" r="0" b="0"/>
                <wp:wrapNone/>
                <wp:docPr id="3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sz w:val="20"/>
                                <w:szCs w:val="20"/>
                              </w:rPr>
                            </w:pPr>
                            <w:r>
                              <w:rPr>
                                <w:rFonts w:eastAsia="Calibri" w:cs="" w:cstheme="minorBidi" w:eastAsiaTheme="minorHAnsi"/>
                                <w:b/>
                                <w:bCs/>
                                <w:color w:val="00000A"/>
                                <w:sz w:val="20"/>
                                <w:szCs w:val="20"/>
                              </w:rPr>
                            </w:r>
                          </w:p>
                          <w:p>
                            <w:pPr>
                              <w:pStyle w:val="Contenudecadre"/>
                              <w:overflowPunct w:val="true"/>
                              <w:spacing w:lineRule="auto" w:line="240" w:before="0" w:after="0"/>
                              <w:rPr>
                                <w:sz w:val="20"/>
                                <w:szCs w:val="20"/>
                              </w:rPr>
                            </w:pPr>
                            <w:r>
                              <w:rPr>
                                <w:rFonts w:eastAsia="Calibri" w:cs=""/>
                                <w:b w:val="false"/>
                                <w:bCs/>
                                <w:i w:val="false"/>
                                <w:strike w:val="false"/>
                                <w:dstrike w:val="false"/>
                                <w:outline w:val="false"/>
                                <w:shadow w:val="false"/>
                                <w:color w:val="000000"/>
                                <w:kern w:val="0"/>
                                <w:sz w:val="20"/>
                                <w:szCs w:val="20"/>
                                <w:u w:val="none"/>
                                <w:em w:val="none"/>
                                <w:lang w:val="fr-FR" w:eastAsia="en-US" w:bidi="ar-SA"/>
                              </w:rPr>
                              <w:t xml:space="preserve">SIO (Beaucouzé) : </w:t>
                            </w:r>
                            <w:r>
                              <w:rPr>
                                <w:rFonts w:eastAsia="Calibri" w:cs=""/>
                                <w:b w:val="false"/>
                                <w:i w:val="false"/>
                                <w:strike w:val="false"/>
                                <w:dstrike w:val="false"/>
                                <w:outline w:val="false"/>
                                <w:shadow w:val="false"/>
                                <w:color w:val="000000"/>
                                <w:kern w:val="0"/>
                                <w:sz w:val="20"/>
                                <w:szCs w:val="20"/>
                                <w:u w:val="none"/>
                                <w:em w:val="none"/>
                                <w:lang w:val="fr-FR" w:eastAsia="en-US" w:bidi="ar-SA"/>
                              </w:rPr>
                              <w:t>Cette PME souhaite moderniser</w:t>
                            </w:r>
                            <w:r>
                              <w:rPr>
                                <w:b w:val="false"/>
                                <w:i w:val="false"/>
                                <w:strike w:val="false"/>
                                <w:dstrike w:val="false"/>
                                <w:outline w:val="false"/>
                                <w:shadow w:val="false"/>
                                <w:color w:val="000000"/>
                                <w:sz w:val="20"/>
                                <w:szCs w:val="20"/>
                                <w:u w:val="none"/>
                                <w:em w:val="none"/>
                              </w:rPr>
                              <w:t xml:space="preserve"> ses moyens de production afin d'atténuer le poids du secteur aéronautique sur l’activité globale de l’entreprise, en allant notamment chercher du business dans le médical et la défense. </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sz w:val="20"/>
                                <w:szCs w:val="20"/>
                              </w:rPr>
                            </w:pPr>
                            <w:r>
                              <w:rPr>
                                <w:rFonts w:eastAsia="Calibri" w:cs="" w:cstheme="minorBidi" w:eastAsiaTheme="minorHAnsi"/>
                                <w:b/>
                                <w:bCs/>
                                <w:color w:val="00000A"/>
                                <w:sz w:val="20"/>
                                <w:szCs w:val="2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sz w:val="20"/>
                          <w:szCs w:val="20"/>
                        </w:rPr>
                      </w:pPr>
                      <w:r>
                        <w:rPr>
                          <w:rFonts w:eastAsia="Calibri" w:cs="" w:cstheme="minorBidi" w:eastAsiaTheme="minorHAnsi"/>
                          <w:b/>
                          <w:bCs/>
                          <w:color w:val="00000A"/>
                          <w:sz w:val="20"/>
                          <w:szCs w:val="20"/>
                        </w:rPr>
                      </w:r>
                    </w:p>
                    <w:p>
                      <w:pPr>
                        <w:pStyle w:val="Contenudecadre"/>
                        <w:overflowPunct w:val="true"/>
                        <w:spacing w:lineRule="auto" w:line="240" w:before="0" w:after="0"/>
                        <w:rPr>
                          <w:sz w:val="20"/>
                          <w:szCs w:val="20"/>
                        </w:rPr>
                      </w:pPr>
                      <w:r>
                        <w:rPr>
                          <w:rFonts w:eastAsia="Calibri" w:cs=""/>
                          <w:b w:val="false"/>
                          <w:bCs/>
                          <w:i w:val="false"/>
                          <w:strike w:val="false"/>
                          <w:dstrike w:val="false"/>
                          <w:outline w:val="false"/>
                          <w:shadow w:val="false"/>
                          <w:color w:val="000000"/>
                          <w:kern w:val="0"/>
                          <w:sz w:val="20"/>
                          <w:szCs w:val="20"/>
                          <w:u w:val="none"/>
                          <w:em w:val="none"/>
                          <w:lang w:val="fr-FR" w:eastAsia="en-US" w:bidi="ar-SA"/>
                        </w:rPr>
                        <w:t xml:space="preserve">SIO (Beaucouzé) : </w:t>
                      </w:r>
                      <w:r>
                        <w:rPr>
                          <w:rFonts w:eastAsia="Calibri" w:cs=""/>
                          <w:b w:val="false"/>
                          <w:i w:val="false"/>
                          <w:strike w:val="false"/>
                          <w:dstrike w:val="false"/>
                          <w:outline w:val="false"/>
                          <w:shadow w:val="false"/>
                          <w:color w:val="000000"/>
                          <w:kern w:val="0"/>
                          <w:sz w:val="20"/>
                          <w:szCs w:val="20"/>
                          <w:u w:val="none"/>
                          <w:em w:val="none"/>
                          <w:lang w:val="fr-FR" w:eastAsia="en-US" w:bidi="ar-SA"/>
                        </w:rPr>
                        <w:t>Cette PME souhaite moderniser</w:t>
                      </w:r>
                      <w:r>
                        <w:rPr>
                          <w:b w:val="false"/>
                          <w:i w:val="false"/>
                          <w:strike w:val="false"/>
                          <w:dstrike w:val="false"/>
                          <w:outline w:val="false"/>
                          <w:shadow w:val="false"/>
                          <w:color w:val="000000"/>
                          <w:sz w:val="20"/>
                          <w:szCs w:val="20"/>
                          <w:u w:val="none"/>
                          <w:em w:val="none"/>
                        </w:rPr>
                        <w:t xml:space="preserve"> ses moyens de production afin d'atténuer le poids du secteur aéronautique sur l’activité globale de l’entreprise, en allant notamment chercher du business dans le médical et la défense. </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sz w:val="20"/>
                          <w:szCs w:val="20"/>
                        </w:rPr>
                      </w:pPr>
                      <w:r>
                        <w:rPr>
                          <w:rFonts w:eastAsia="Calibri" w:cs="" w:cstheme="minorBidi" w:eastAsiaTheme="minorHAnsi"/>
                          <w:b/>
                          <w:bCs/>
                          <w:color w:val="00000A"/>
                          <w:sz w:val="20"/>
                          <w:szCs w:val="2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bookmarkEnd w:id="6"/>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6620" cy="2092960"/>
                <wp:effectExtent l="0" t="0" r="0" b="0"/>
                <wp:wrapNone/>
                <wp:docPr id="35" name="Forme2"/>
                <a:graphic xmlns:a="http://schemas.openxmlformats.org/drawingml/2006/main">
                  <a:graphicData uri="http://schemas.microsoft.com/office/word/2010/wordprocessingShape">
                    <wps:wsp>
                      <wps:cNvSpPr/>
                      <wps:spPr>
                        <a:xfrm>
                          <a:off x="0" y="0"/>
                          <a:ext cx="5976000" cy="20923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64.7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50785" cy="139065"/>
                <wp:effectExtent l="0" t="0" r="0" b="0"/>
                <wp:wrapNone/>
                <wp:docPr id="3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1">
                <wp:simplePos x="0" y="0"/>
                <wp:positionH relativeFrom="column">
                  <wp:posOffset>0</wp:posOffset>
                </wp:positionH>
                <wp:positionV relativeFrom="paragraph">
                  <wp:posOffset>28575</wp:posOffset>
                </wp:positionV>
                <wp:extent cx="5976620" cy="2283460"/>
                <wp:effectExtent l="0" t="0" r="0" b="0"/>
                <wp:wrapNone/>
                <wp:docPr id="38" name="Cadre1"/>
                <a:graphic xmlns:a="http://schemas.openxmlformats.org/drawingml/2006/main">
                  <a:graphicData uri="http://schemas.microsoft.com/office/word/2010/wordprocessingShape">
                    <wps:wsp>
                      <wps:cNvSpPr/>
                      <wps:spPr>
                        <a:xfrm>
                          <a:off x="0" y="0"/>
                          <a:ext cx="5976000" cy="2282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Normal"/>
                              <w:jc w:val="both"/>
                              <w:rPr/>
                            </w:pPr>
                            <w:r>
                              <w:rPr>
                                <w:rFonts w:eastAsia="Calibri" w:cs="Arial"/>
                                <w:b w:val="false"/>
                                <w:bCs w:val="false"/>
                                <w:color w:val="00000A"/>
                                <w:kern w:val="0"/>
                                <w:sz w:val="20"/>
                                <w:szCs w:val="20"/>
                                <w:lang w:val="fr-FR" w:eastAsia="en-US" w:bidi="ar-SA"/>
                              </w:rPr>
                              <w:t xml:space="preserve">Le </w:t>
                            </w:r>
                            <w:r>
                              <w:rPr>
                                <w:rFonts w:eastAsia="Calibri" w:cs="Arial"/>
                                <w:b w:val="false"/>
                                <w:bCs w:val="false"/>
                                <w:color w:val="00000A"/>
                                <w:kern w:val="0"/>
                                <w:sz w:val="20"/>
                                <w:szCs w:val="20"/>
                                <w:lang w:val="fr-FR" w:eastAsia="en-US" w:bidi="ar-SA"/>
                              </w:rPr>
                              <w:t>projet le plus important</w:t>
                            </w:r>
                            <w:r>
                              <w:rPr>
                                <w:rFonts w:eastAsia="Calibri" w:cs="Arial"/>
                                <w:b w:val="false"/>
                                <w:bCs w:val="false"/>
                                <w:color w:val="00000A"/>
                                <w:kern w:val="0"/>
                                <w:sz w:val="20"/>
                                <w:szCs w:val="20"/>
                                <w:lang w:val="fr-FR" w:eastAsia="en-US" w:bidi="ar-SA"/>
                              </w:rPr>
                              <w:t xml:space="preserve"> (travaux de rénovation énergétique du bâtiment D de la cité administrative d’Angers) se concrétise par un marché de conception-réalisation qui vient d’être lancé par la préfecture. Les travaux consisteront en la mise en œuvre d’une isolation par l’extérieur, le remplacement des menuiseries et des volets roulants ainsi que des travaux de mise en conformité électrique et de relamping.</w:t>
                            </w:r>
                          </w:p>
                          <w:p>
                            <w:pPr>
                              <w:pStyle w:val="Normal"/>
                              <w:overflowPunct w:val="true"/>
                              <w:spacing w:lineRule="auto" w:line="240" w:before="0" w:after="0"/>
                              <w:jc w:val="both"/>
                              <w:rPr>
                                <w:rFonts w:ascii="Calibri" w:hAnsi="Calibri" w:eastAsia="Calibri" w:cs="Arial"/>
                                <w:b w:val="false"/>
                                <w:b w:val="false"/>
                                <w:bCs w:val="false"/>
                                <w:color w:val="00000A"/>
                                <w:kern w:val="0"/>
                                <w:sz w:val="20"/>
                                <w:szCs w:val="20"/>
                                <w:lang w:val="fr-FR" w:eastAsia="en-US" w:bidi="ar-SA"/>
                              </w:rPr>
                            </w:pPr>
                            <w:r>
                              <w:rPr>
                                <w:rFonts w:eastAsia="Calibri" w:cs="Arial"/>
                                <w:b w:val="false"/>
                                <w:bCs w:val="false"/>
                                <w:color w:val="00000A"/>
                                <w:kern w:val="0"/>
                                <w:sz w:val="20"/>
                                <w:szCs w:val="20"/>
                                <w:lang w:val="fr-FR" w:eastAsia="en-US" w:bidi="ar-SA"/>
                              </w:rPr>
                              <w:t xml:space="preserve">Le financement de 3,2 M€ accordé au titre de France Relance va ainsi permettre d’améliorer la performance énergétique du bâtiment et ainsi en assurer la pérennité tout en contribuant grandement au confort de ses occupants, issus de plusieurs directions départementales de l’Etat.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179.7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Normal"/>
                        <w:jc w:val="both"/>
                        <w:rPr/>
                      </w:pPr>
                      <w:r>
                        <w:rPr>
                          <w:rFonts w:eastAsia="Calibri" w:cs="Arial"/>
                          <w:b w:val="false"/>
                          <w:bCs w:val="false"/>
                          <w:color w:val="00000A"/>
                          <w:kern w:val="0"/>
                          <w:sz w:val="20"/>
                          <w:szCs w:val="20"/>
                          <w:lang w:val="fr-FR" w:eastAsia="en-US" w:bidi="ar-SA"/>
                        </w:rPr>
                        <w:t xml:space="preserve">Le </w:t>
                      </w:r>
                      <w:r>
                        <w:rPr>
                          <w:rFonts w:eastAsia="Calibri" w:cs="Arial"/>
                          <w:b w:val="false"/>
                          <w:bCs w:val="false"/>
                          <w:color w:val="00000A"/>
                          <w:kern w:val="0"/>
                          <w:sz w:val="20"/>
                          <w:szCs w:val="20"/>
                          <w:lang w:val="fr-FR" w:eastAsia="en-US" w:bidi="ar-SA"/>
                        </w:rPr>
                        <w:t>projet le plus important</w:t>
                      </w:r>
                      <w:r>
                        <w:rPr>
                          <w:rFonts w:eastAsia="Calibri" w:cs="Arial"/>
                          <w:b w:val="false"/>
                          <w:bCs w:val="false"/>
                          <w:color w:val="00000A"/>
                          <w:kern w:val="0"/>
                          <w:sz w:val="20"/>
                          <w:szCs w:val="20"/>
                          <w:lang w:val="fr-FR" w:eastAsia="en-US" w:bidi="ar-SA"/>
                        </w:rPr>
                        <w:t xml:space="preserve"> (travaux de rénovation énergétique du bâtiment D de la cité administrative d’Angers) se concrétise par un marché de conception-réalisation qui vient d’être lancé par la préfecture. Les travaux consisteront en la mise en œuvre d’une isolation par l’extérieur, le remplacement des menuiseries et des volets roulants ainsi que des travaux de mise en conformité électrique et de relamping.</w:t>
                      </w:r>
                    </w:p>
                    <w:p>
                      <w:pPr>
                        <w:pStyle w:val="Normal"/>
                        <w:overflowPunct w:val="true"/>
                        <w:spacing w:lineRule="auto" w:line="240" w:before="0" w:after="0"/>
                        <w:jc w:val="both"/>
                        <w:rPr>
                          <w:rFonts w:ascii="Calibri" w:hAnsi="Calibri" w:eastAsia="Calibri" w:cs="Arial"/>
                          <w:b w:val="false"/>
                          <w:b w:val="false"/>
                          <w:bCs w:val="false"/>
                          <w:color w:val="00000A"/>
                          <w:kern w:val="0"/>
                          <w:sz w:val="20"/>
                          <w:szCs w:val="20"/>
                          <w:lang w:val="fr-FR" w:eastAsia="en-US" w:bidi="ar-SA"/>
                        </w:rPr>
                      </w:pPr>
                      <w:r>
                        <w:rPr>
                          <w:rFonts w:eastAsia="Calibri" w:cs="Arial"/>
                          <w:b w:val="false"/>
                          <w:bCs w:val="false"/>
                          <w:color w:val="00000A"/>
                          <w:kern w:val="0"/>
                          <w:sz w:val="20"/>
                          <w:szCs w:val="20"/>
                          <w:lang w:val="fr-FR" w:eastAsia="en-US" w:bidi="ar-SA"/>
                        </w:rPr>
                        <w:t xml:space="preserve">Le financement de 3,2 M€ accordé au titre de France Relance va ainsi permettre d’améliorer la performance énergétique du bâtiment et ainsi en assurer la pérennité tout en contribuant grandement au confort de ses occupants, issus de plusieurs directions départementales de l’Etat.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w:rPr>
          <w:rFonts w:cs="Arial" w:ascii="Arial" w:hAnsi="Arial"/>
          <w:b/>
          <w:bCs/>
          <w:sz w:val="56"/>
          <w:szCs w:val="56"/>
        </w:rPr>
        <w:t>Volet : Compétitivité</w:t>
      </w:r>
    </w:p>
    <w:p>
      <w:pPr>
        <w:pStyle w:val="Normal"/>
        <w:widowControl/>
        <w:bidi w:val="0"/>
        <w:spacing w:lineRule="auto" w:line="259" w:before="0" w:after="160"/>
        <w:jc w:val="left"/>
        <w:rPr>
          <w:rFonts w:ascii="Arial" w:hAnsi="Arial" w:cs="Arial"/>
          <w:b/>
          <w:b/>
          <w:bCs/>
          <w:sz w:val="56"/>
          <w:szCs w:val="56"/>
        </w:rPr>
      </w:pPr>
      <w:r>
        <w:rPr/>
      </w:r>
    </w:p>
    <w:p>
      <w:pPr>
        <w:pStyle w:val="Normal"/>
        <w:overflowPunct w:val="true"/>
        <w:spacing w:lineRule="auto" w:line="240" w:before="0" w:after="0"/>
        <w:rPr/>
      </w:pPr>
      <w:r>
        <mc:AlternateContent>
          <mc:Choice Requires="wps">
            <w:drawing>
              <wp:anchor behindDoc="0" distT="0" distB="0" distL="0" distR="0" simplePos="0" locked="0" layoutInCell="1" allowOverlap="1" relativeHeight="80">
                <wp:simplePos x="0" y="0"/>
                <wp:positionH relativeFrom="column">
                  <wp:posOffset>-43815</wp:posOffset>
                </wp:positionH>
                <wp:positionV relativeFrom="paragraph">
                  <wp:posOffset>-111125</wp:posOffset>
                </wp:positionV>
                <wp:extent cx="5867400" cy="6760210"/>
                <wp:effectExtent l="0" t="0" r="0" b="0"/>
                <wp:wrapNone/>
                <wp:docPr id="40" name="Forme1"/>
                <a:graphic xmlns:a="http://schemas.openxmlformats.org/drawingml/2006/main">
                  <a:graphicData uri="http://schemas.microsoft.com/office/word/2010/wordprocessingShape">
                    <wps:wsp>
                      <wps:cNvSpPr/>
                      <wps:spPr>
                        <a:xfrm>
                          <a:off x="0" y="0"/>
                          <a:ext cx="5866920" cy="67597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1" stroked="t" style="position:absolute;margin-left:-3.45pt;margin-top:-8.75pt;width:461.9pt;height:532.2pt">
                <w10:wrap type="none"/>
                <v:fill o:detectmouseclick="t" on="false"/>
                <v:stroke color="black" joinstyle="round" endcap="flat"/>
              </v:rect>
            </w:pict>
          </mc:Fallback>
        </mc:AlternateContent>
      </w:r>
      <w:r>
        <w:rPr>
          <w:rFonts w:eastAsia="Calibri" w:cs="" w:cstheme="minorBidi" w:eastAsiaTheme="minorHAnsi"/>
          <w:b/>
          <w:bCs/>
          <w:color w:val="00000A"/>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t>Les dispositifs de soutien à l’économie ont été fortement mobilisés pour amortir les effets du ralentissement économique et préserver l’emploi. Depuis le début de la crise, ces dispositifs ont représenté en Maine-et-Loire :</w:t>
      </w:r>
    </w:p>
    <w:p>
      <w:pPr>
        <w:pStyle w:val="Textbody"/>
        <w:numPr>
          <w:ilvl w:val="0"/>
          <w:numId w:val="2"/>
        </w:numPr>
        <w:rPr/>
      </w:pPr>
      <w:r>
        <w:rPr>
          <w:rFonts w:eastAsia="Calibri" w:cs="" w:ascii="Calibri" w:hAnsi="Calibri"/>
          <w:b w:val="false"/>
          <w:bCs w:val="false"/>
          <w:color w:val="00000A"/>
          <w:kern w:val="0"/>
          <w:sz w:val="22"/>
          <w:szCs w:val="22"/>
          <w:lang w:val="fr-FR" w:eastAsia="en-US" w:bidi="ar-SA"/>
        </w:rPr>
        <w:t>1,063 milliard d’euros de prêts garantis par l’État délivrés à 5 927 entreprises, dont plus de 90 % sont des TPE et des PME ;</w:t>
      </w:r>
    </w:p>
    <w:p>
      <w:pPr>
        <w:pStyle w:val="Textbody"/>
        <w:numPr>
          <w:ilvl w:val="0"/>
          <w:numId w:val="2"/>
        </w:numPr>
        <w:rPr>
          <w:rFonts w:ascii="Calibri" w:hAnsi="Calibri" w:eastAsia="Calibri" w:cs=""/>
          <w:b w:val="false"/>
          <w:b w:val="false"/>
          <w:bCs w:val="false"/>
          <w:color w:val="00000A"/>
          <w:kern w:val="0"/>
          <w:sz w:val="22"/>
          <w:szCs w:val="22"/>
          <w:lang w:val="fr-FR" w:eastAsia="en-US" w:bidi="ar-SA"/>
        </w:rPr>
      </w:pPr>
      <w:r>
        <w:rPr>
          <w:rFonts w:eastAsia="Calibri" w:cs="" w:ascii="Calibri" w:hAnsi="Calibri"/>
          <w:b w:val="false"/>
          <w:bCs w:val="false"/>
          <w:color w:val="00000A"/>
          <w:kern w:val="0"/>
          <w:sz w:val="22"/>
          <w:szCs w:val="22"/>
          <w:lang w:val="fr-FR" w:eastAsia="en-US" w:bidi="ar-SA"/>
        </w:rPr>
        <w:t xml:space="preserve">273 millions d’euros d’activité partielle, </w:t>
      </w:r>
      <w:r>
        <w:rPr>
          <w:rFonts w:eastAsia="Calibri" w:cs="" w:ascii="Calibri" w:hAnsi="Calibri"/>
          <w:b w:val="false"/>
          <w:bCs w:val="false"/>
          <w:i w:val="false"/>
          <w:iCs w:val="false"/>
          <w:color w:val="00000A"/>
          <w:kern w:val="0"/>
          <w:sz w:val="22"/>
          <w:szCs w:val="22"/>
          <w:lang w:val="fr-FR" w:eastAsia="en-US" w:bidi="ar-SA"/>
        </w:rPr>
        <w:t>correspondant à 28 millions d’heures non travaillées, ont été mobilisés </w:t>
      </w:r>
      <w:r>
        <w:rPr>
          <w:rFonts w:eastAsia="Calibri" w:cs="" w:ascii="Calibri" w:hAnsi="Calibri"/>
          <w:b w:val="false"/>
          <w:bCs w:val="false"/>
          <w:color w:val="00000A"/>
          <w:kern w:val="0"/>
          <w:sz w:val="22"/>
          <w:szCs w:val="22"/>
          <w:lang w:val="fr-FR" w:eastAsia="en-US" w:bidi="ar-SA"/>
        </w:rPr>
        <w:t>;</w:t>
      </w:r>
    </w:p>
    <w:p>
      <w:pPr>
        <w:pStyle w:val="Textbody"/>
        <w:numPr>
          <w:ilvl w:val="0"/>
          <w:numId w:val="2"/>
        </w:numPr>
        <w:rPr>
          <w:rFonts w:ascii="Calibri" w:hAnsi="Calibri" w:eastAsia="Calibri" w:cs=""/>
          <w:b w:val="false"/>
          <w:b w:val="false"/>
          <w:bCs w:val="false"/>
          <w:color w:val="00000A"/>
          <w:kern w:val="0"/>
          <w:sz w:val="22"/>
          <w:szCs w:val="22"/>
          <w:lang w:val="fr-FR" w:eastAsia="en-US" w:bidi="ar-SA"/>
        </w:rPr>
      </w:pPr>
      <w:r>
        <w:rPr>
          <w:rFonts w:eastAsia="Calibri" w:cs="" w:ascii="Calibri" w:hAnsi="Calibri"/>
          <w:b w:val="false"/>
          <w:bCs w:val="false"/>
          <w:color w:val="00000A"/>
          <w:kern w:val="0"/>
          <w:sz w:val="22"/>
          <w:szCs w:val="22"/>
          <w:lang w:val="fr-FR" w:eastAsia="en-US" w:bidi="ar-SA"/>
        </w:rPr>
        <w:t>197,49 millions d’euros d’aides versées au titre du fonds de solidarité qui a concerné 18 451 entreprises ;</w:t>
      </w:r>
    </w:p>
    <w:p>
      <w:pPr>
        <w:pStyle w:val="Textbody"/>
        <w:numPr>
          <w:ilvl w:val="0"/>
          <w:numId w:val="2"/>
        </w:numPr>
        <w:rPr>
          <w:rFonts w:ascii="Calibri" w:hAnsi="Calibri" w:eastAsia="Calibri" w:cs=""/>
          <w:b w:val="false"/>
          <w:b w:val="false"/>
          <w:bCs w:val="false"/>
          <w:color w:val="00000A"/>
          <w:kern w:val="0"/>
          <w:sz w:val="22"/>
          <w:szCs w:val="22"/>
          <w:lang w:val="fr-FR" w:eastAsia="en-US" w:bidi="ar-SA"/>
        </w:rPr>
      </w:pPr>
      <w:r>
        <w:rPr>
          <w:rFonts w:eastAsia="Calibri" w:cs="" w:ascii="Calibri" w:hAnsi="Calibri"/>
          <w:b w:val="false"/>
          <w:bCs w:val="false"/>
          <w:color w:val="00000A"/>
          <w:kern w:val="0"/>
          <w:sz w:val="22"/>
          <w:szCs w:val="22"/>
          <w:lang w:val="fr-FR" w:eastAsia="en-US" w:bidi="ar-SA"/>
        </w:rPr>
        <w:t>17,91 millions d’euros de report d’échéances fiscales.</w:t>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r>
    </w:p>
    <w:p>
      <w:pPr>
        <w:pStyle w:val="Normal"/>
        <w:widowControl/>
        <w:suppressAutoHyphens w:val="false"/>
        <w:bidi w:val="0"/>
        <w:spacing w:lineRule="auto" w:line="240" w:before="0" w:after="0"/>
        <w:ind w:left="0" w:right="0" w:hanging="0"/>
        <w:jc w:val="both"/>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t xml:space="preserve">Pour mémoire, 8225 entreprises du département voient dès cette année leur compétitivité améliorée, grâce à une baisse des impôts de production de 102,7 M€. </w:t>
      </w:r>
    </w:p>
    <w:p>
      <w:pPr>
        <w:pStyle w:val="Normal"/>
        <w:bidi w:val="0"/>
        <w:spacing w:lineRule="auto" w:line="240" w:before="0" w:after="0"/>
        <w:jc w:val="both"/>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r>
    </w:p>
    <w:p>
      <w:pPr>
        <w:pStyle w:val="Corpsdetexte"/>
        <w:bidi w:val="0"/>
        <w:spacing w:lineRule="auto" w:line="240" w:before="0" w:after="0"/>
        <w:jc w:val="both"/>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t>Par ailleurs, un appel à projets à destination des entreprises industrielles a été lancé dès l'été 2020 afin de :</w:t>
      </w:r>
    </w:p>
    <w:p>
      <w:pPr>
        <w:pStyle w:val="Corpsdetexte"/>
        <w:numPr>
          <w:ilvl w:val="0"/>
          <w:numId w:val="3"/>
        </w:numPr>
        <w:tabs>
          <w:tab w:val="left" w:pos="0" w:leader="none"/>
        </w:tabs>
        <w:spacing w:before="0" w:after="0"/>
        <w:ind w:left="707" w:hanging="283"/>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t xml:space="preserve">relocaliser des projets industriels dans nos territoires d'industrie ; </w:t>
      </w:r>
    </w:p>
    <w:p>
      <w:pPr>
        <w:pStyle w:val="Corpsdetexte"/>
        <w:numPr>
          <w:ilvl w:val="0"/>
          <w:numId w:val="3"/>
        </w:numPr>
        <w:tabs>
          <w:tab w:val="left" w:pos="0" w:leader="none"/>
        </w:tabs>
        <w:spacing w:before="0" w:after="0"/>
        <w:ind w:left="707" w:hanging="283"/>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t xml:space="preserve">relocaliser la production dans les secteurs critiques pour l'économie française ; </w:t>
      </w:r>
    </w:p>
    <w:p>
      <w:pPr>
        <w:pStyle w:val="Corpsdetexte"/>
        <w:numPr>
          <w:ilvl w:val="0"/>
          <w:numId w:val="3"/>
        </w:numPr>
        <w:tabs>
          <w:tab w:val="left" w:pos="0" w:leader="none"/>
        </w:tabs>
        <w:ind w:left="707" w:hanging="283"/>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t xml:space="preserve">soutenir la transformation écologique des secteurs automobile et aéronautique. </w:t>
      </w:r>
    </w:p>
    <w:p>
      <w:pPr>
        <w:pStyle w:val="Normal"/>
        <w:bidi w:val="0"/>
        <w:spacing w:lineRule="auto" w:line="240" w:before="0" w:after="0"/>
        <w:jc w:val="both"/>
        <w:rPr/>
      </w:pPr>
      <w:r>
        <w:rPr>
          <w:rFonts w:eastAsia="Calibri" w:cs=""/>
          <w:b w:val="false"/>
          <w:bCs w:val="false"/>
          <w:color w:val="00000A"/>
          <w:kern w:val="0"/>
          <w:sz w:val="22"/>
          <w:szCs w:val="22"/>
          <w:u w:val="none"/>
          <w:lang w:val="fr-FR" w:eastAsia="en-US" w:bidi="ar-SA"/>
        </w:rPr>
        <w:t xml:space="preserve">A l’échelle du département, </w:t>
      </w:r>
      <w:r>
        <w:rPr>
          <w:rFonts w:eastAsia="Calibri" w:cs=""/>
          <w:b w:val="false"/>
          <w:bCs w:val="false"/>
          <w:i w:val="false"/>
          <w:iCs w:val="false"/>
          <w:color w:val="00000A"/>
          <w:kern w:val="0"/>
          <w:sz w:val="22"/>
          <w:szCs w:val="22"/>
          <w:u w:val="none"/>
          <w:lang w:val="fr-FR" w:eastAsia="en-US" w:bidi="ar-SA"/>
        </w:rPr>
        <w:t>42 entreprises vont bénéficier – à ce jour - de 25,8 M€ pour réaliser 212 M€ d’investissement :</w:t>
      </w:r>
    </w:p>
    <w:p>
      <w:pPr>
        <w:pStyle w:val="ListParagraph"/>
        <w:numPr>
          <w:ilvl w:val="0"/>
          <w:numId w:val="4"/>
        </w:numPr>
        <w:bidi w:val="0"/>
        <w:spacing w:lineRule="auto" w:line="240" w:before="0" w:after="0"/>
        <w:jc w:val="both"/>
        <w:rPr>
          <w:rFonts w:ascii="Calibri" w:hAnsi="Calibri" w:eastAsia="Calibri" w:cs=""/>
          <w:b w:val="false"/>
          <w:b w:val="false"/>
          <w:bCs w:val="false"/>
          <w:i w:val="false"/>
          <w:i w:val="false"/>
          <w:iCs w:val="false"/>
          <w:color w:val="00000A"/>
          <w:kern w:val="0"/>
          <w:sz w:val="22"/>
          <w:szCs w:val="22"/>
          <w:u w:val="none"/>
          <w:lang w:val="fr-FR" w:eastAsia="en-US" w:bidi="ar-SA"/>
        </w:rPr>
      </w:pPr>
      <w:r>
        <w:rPr>
          <w:rFonts w:eastAsia="Calibri" w:cs="" w:ascii="Calibri" w:hAnsi="Calibri"/>
          <w:b w:val="false"/>
          <w:bCs w:val="false"/>
          <w:i w:val="false"/>
          <w:iCs w:val="false"/>
          <w:color w:val="00000A"/>
          <w:kern w:val="0"/>
          <w:sz w:val="22"/>
          <w:szCs w:val="22"/>
          <w:u w:val="none"/>
          <w:lang w:val="fr-FR" w:eastAsia="en-US" w:bidi="ar-SA"/>
        </w:rPr>
        <w:t xml:space="preserve">21 entreprises via le dispositif « territoires d’industries » (7,7 M€) </w:t>
      </w:r>
    </w:p>
    <w:p>
      <w:pPr>
        <w:pStyle w:val="ListParagraph"/>
        <w:numPr>
          <w:ilvl w:val="0"/>
          <w:numId w:val="4"/>
        </w:numPr>
        <w:bidi w:val="0"/>
        <w:spacing w:lineRule="auto" w:line="240" w:before="0" w:after="0"/>
        <w:jc w:val="both"/>
        <w:rPr>
          <w:rFonts w:ascii="Calibri" w:hAnsi="Calibri" w:eastAsia="Calibri" w:cs=""/>
          <w:b w:val="false"/>
          <w:b w:val="false"/>
          <w:bCs w:val="false"/>
          <w:i w:val="false"/>
          <w:i w:val="false"/>
          <w:iCs w:val="false"/>
          <w:color w:val="00000A"/>
          <w:kern w:val="0"/>
          <w:sz w:val="22"/>
          <w:szCs w:val="22"/>
          <w:u w:val="none"/>
          <w:lang w:val="fr-FR" w:eastAsia="en-US" w:bidi="ar-SA"/>
        </w:rPr>
      </w:pPr>
      <w:r>
        <w:rPr>
          <w:rFonts w:eastAsia="Calibri" w:cs="" w:ascii="Calibri" w:hAnsi="Calibri"/>
          <w:b w:val="false"/>
          <w:bCs w:val="false"/>
          <w:i w:val="false"/>
          <w:iCs w:val="false"/>
          <w:color w:val="00000A"/>
          <w:kern w:val="0"/>
          <w:sz w:val="22"/>
          <w:szCs w:val="22"/>
          <w:u w:val="none"/>
          <w:lang w:val="fr-FR" w:eastAsia="en-US" w:bidi="ar-SA"/>
        </w:rPr>
        <w:t>2 entreprises bénéficient des fonds pour la modernisation du secteur automobile (1,6 M€)</w:t>
      </w:r>
    </w:p>
    <w:p>
      <w:pPr>
        <w:pStyle w:val="ListParagraph"/>
        <w:numPr>
          <w:ilvl w:val="0"/>
          <w:numId w:val="4"/>
        </w:numPr>
        <w:bidi w:val="0"/>
        <w:spacing w:lineRule="auto" w:line="240" w:before="0" w:after="0"/>
        <w:jc w:val="both"/>
        <w:rPr>
          <w:rFonts w:ascii="Calibri" w:hAnsi="Calibri" w:eastAsia="Calibri" w:cs=""/>
          <w:b w:val="false"/>
          <w:b w:val="false"/>
          <w:bCs w:val="false"/>
          <w:i w:val="false"/>
          <w:i w:val="false"/>
          <w:iCs w:val="false"/>
          <w:color w:val="00000A"/>
          <w:kern w:val="0"/>
          <w:sz w:val="22"/>
          <w:szCs w:val="22"/>
          <w:u w:val="none"/>
          <w:lang w:val="fr-FR" w:eastAsia="en-US" w:bidi="ar-SA"/>
        </w:rPr>
      </w:pPr>
      <w:r>
        <w:rPr>
          <w:rFonts w:eastAsia="Calibri" w:cs="" w:ascii="Calibri" w:hAnsi="Calibri"/>
          <w:b w:val="false"/>
          <w:bCs w:val="false"/>
          <w:i w:val="false"/>
          <w:iCs w:val="false"/>
          <w:color w:val="00000A"/>
          <w:kern w:val="0"/>
          <w:sz w:val="22"/>
          <w:szCs w:val="22"/>
          <w:u w:val="none"/>
          <w:lang w:val="fr-FR" w:eastAsia="en-US" w:bidi="ar-SA"/>
        </w:rPr>
        <w:t>6 entreprises bénéficient des fonds pour la modernisation du secteur aéronautique (5,2 M€)</w:t>
      </w:r>
    </w:p>
    <w:p>
      <w:pPr>
        <w:pStyle w:val="ListParagraph"/>
        <w:numPr>
          <w:ilvl w:val="0"/>
          <w:numId w:val="4"/>
        </w:numPr>
        <w:bidi w:val="0"/>
        <w:spacing w:lineRule="auto" w:line="240" w:before="0" w:after="0"/>
        <w:jc w:val="both"/>
        <w:rPr>
          <w:rFonts w:ascii="Calibri" w:hAnsi="Calibri" w:eastAsia="Calibri" w:cs=""/>
          <w:b w:val="false"/>
          <w:b w:val="false"/>
          <w:bCs w:val="false"/>
          <w:i w:val="false"/>
          <w:i w:val="false"/>
          <w:iCs w:val="false"/>
          <w:color w:val="00000A"/>
          <w:kern w:val="0"/>
          <w:sz w:val="22"/>
          <w:szCs w:val="22"/>
          <w:u w:val="none"/>
          <w:lang w:val="fr-FR" w:eastAsia="en-US" w:bidi="ar-SA"/>
        </w:rPr>
      </w:pPr>
      <w:r>
        <w:rPr>
          <w:rFonts w:eastAsia="Calibri" w:cs="" w:ascii="Calibri" w:hAnsi="Calibri"/>
          <w:b w:val="false"/>
          <w:bCs w:val="false"/>
          <w:i w:val="false"/>
          <w:iCs w:val="false"/>
          <w:color w:val="00000A"/>
          <w:kern w:val="0"/>
          <w:sz w:val="22"/>
          <w:szCs w:val="22"/>
          <w:u w:val="none"/>
          <w:lang w:val="fr-FR" w:eastAsia="en-US" w:bidi="ar-SA"/>
        </w:rPr>
        <w:t>9 entreprises via le dispositif « industrie du futur/relocalisation » (9,9 M€)</w:t>
      </w:r>
    </w:p>
    <w:p>
      <w:pPr>
        <w:pStyle w:val="ListParagraph"/>
        <w:numPr>
          <w:ilvl w:val="0"/>
          <w:numId w:val="4"/>
        </w:numPr>
        <w:bidi w:val="0"/>
        <w:spacing w:lineRule="auto" w:line="240" w:before="0" w:after="0"/>
        <w:jc w:val="both"/>
        <w:rPr>
          <w:rFonts w:ascii="Calibri" w:hAnsi="Calibri" w:eastAsia="Calibri" w:cs=""/>
          <w:b w:val="false"/>
          <w:b w:val="false"/>
          <w:bCs w:val="false"/>
          <w:i w:val="false"/>
          <w:i w:val="false"/>
          <w:iCs w:val="false"/>
          <w:color w:val="00000A"/>
          <w:kern w:val="0"/>
          <w:sz w:val="22"/>
          <w:szCs w:val="22"/>
          <w:u w:val="none"/>
          <w:lang w:val="fr-FR" w:eastAsia="en-US" w:bidi="ar-SA"/>
        </w:rPr>
      </w:pPr>
      <w:r>
        <w:rPr>
          <w:rFonts w:eastAsia="Calibri" w:cs="" w:ascii="Calibri" w:hAnsi="Calibri"/>
          <w:b w:val="false"/>
          <w:bCs w:val="false"/>
          <w:i w:val="false"/>
          <w:iCs w:val="false"/>
          <w:strike w:val="false"/>
          <w:dstrike w:val="false"/>
          <w:outline w:val="false"/>
          <w:shadow w:val="false"/>
          <w:color w:val="00000A"/>
          <w:kern w:val="0"/>
          <w:sz w:val="22"/>
          <w:szCs w:val="22"/>
          <w:u w:val="none"/>
          <w:em w:val="none"/>
          <w:lang w:val="fr-FR" w:eastAsia="en-US" w:bidi="ar-SA"/>
        </w:rPr>
        <w:t>4 entreprises via le dispositif « soutien à la vente de matières plastiques issues du recyclage » (1,4 M€).</w:t>
      </w:r>
    </w:p>
    <w:p>
      <w:pPr>
        <w:pStyle w:val="Normal"/>
        <w:numPr>
          <w:ilvl w:val="0"/>
          <w:numId w:val="0"/>
        </w:numPr>
        <w:bidi w:val="0"/>
        <w:spacing w:lineRule="auto" w:line="240" w:before="0" w:after="0"/>
        <w:ind w:left="720" w:hanging="0"/>
        <w:jc w:val="both"/>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color w:val="00000A"/>
          <w:kern w:val="0"/>
          <w:sz w:val="22"/>
          <w:szCs w:val="22"/>
          <w:u w:val="none"/>
          <w:lang w:val="fr-FR" w:eastAsia="en-US" w:bidi="ar-SA"/>
        </w:rPr>
      </w:r>
    </w:p>
    <w:p>
      <w:pPr>
        <w:pStyle w:val="Normal"/>
        <w:overflowPunct w:val="true"/>
        <w:spacing w:lineRule="auto" w:line="240" w:before="0" w:after="0"/>
        <w:jc w:val="both"/>
        <w:rPr>
          <w:rFonts w:ascii="Calibri" w:hAnsi="Calibri" w:eastAsia="Calibri" w:cs=""/>
          <w:b w:val="false"/>
          <w:b w:val="false"/>
          <w:bCs w:val="false"/>
          <w:color w:val="00000A"/>
          <w:kern w:val="0"/>
          <w:sz w:val="22"/>
          <w:szCs w:val="22"/>
          <w:u w:val="none"/>
          <w:lang w:val="fr-FR" w:eastAsia="en-US" w:bidi="ar-SA"/>
        </w:rPr>
      </w:pPr>
      <w:r>
        <w:rPr>
          <w:rFonts w:eastAsia="Calibri" w:cs=""/>
          <w:b w:val="false"/>
          <w:bCs w:val="false"/>
          <w:i w:val="false"/>
          <w:iCs w:val="false"/>
          <w:strike w:val="false"/>
          <w:dstrike w:val="false"/>
          <w:outline w:val="false"/>
          <w:shadow w:val="false"/>
          <w:color w:val="00000A"/>
          <w:kern w:val="0"/>
          <w:sz w:val="22"/>
          <w:szCs w:val="22"/>
          <w:u w:val="none"/>
          <w:em w:val="none"/>
          <w:lang w:val="fr-FR" w:eastAsia="en-US" w:bidi="ar-SA"/>
        </w:rPr>
        <w:t>Enfin, l’appel à projets « transformation vers l’industrie du futur » a connu un large succès en fin d’année dernière : 127 dossiers sont à l’étude représentant 16,73 M€ d’aides sollicitées sur une assiette d’investissements de près de 47,34 M€. Près de la moitié a d’ores-et-déjà fait l’objet d’une validation pour un montant de 9,14 M€.</w:t>
      </w:r>
    </w:p>
    <w:p>
      <w:pPr>
        <w:pStyle w:val="Normal"/>
        <w:overflowPunct w:val="true"/>
        <w:spacing w:lineRule="auto" w:line="240" w:before="0" w:after="0"/>
        <w:jc w:val="both"/>
        <w:rPr>
          <w:i w:val="false"/>
          <w:i w:val="false"/>
          <w:iCs w:val="false"/>
          <w:strike w:val="false"/>
          <w:dstrike w:val="false"/>
          <w:outline w:val="false"/>
          <w:shadow w:val="false"/>
          <w:em w:val="none"/>
        </w:rPr>
      </w:pPr>
      <w:r>
        <w:rPr>
          <w:i w:val="false"/>
          <w:iCs w:val="false"/>
          <w:strike w:val="false"/>
          <w:dstrike w:val="false"/>
          <w:outline w:val="false"/>
          <w:shadow w:val="false"/>
          <w:em w:val="none"/>
        </w:rPr>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mc:AlternateContent>
          <mc:Choice Requires="wps">
            <w:drawing>
              <wp:anchor behindDoc="0" distT="0" distB="0" distL="0" distR="0" simplePos="0" locked="0" layoutInCell="1" allowOverlap="1" relativeHeight="114">
                <wp:simplePos x="0" y="0"/>
                <wp:positionH relativeFrom="column">
                  <wp:posOffset>-877570</wp:posOffset>
                </wp:positionH>
                <wp:positionV relativeFrom="paragraph">
                  <wp:posOffset>515620</wp:posOffset>
                </wp:positionV>
                <wp:extent cx="7529195" cy="139065"/>
                <wp:effectExtent l="0" t="0" r="0" b="0"/>
                <wp:wrapNone/>
                <wp:docPr id="41" name="Forme2"/>
                <a:graphic xmlns:a="http://schemas.openxmlformats.org/drawingml/2006/main">
                  <a:graphicData uri="http://schemas.microsoft.com/office/word/2010/wordprocessingShape">
                    <wps:wsp>
                      <wps:cNvSpPr/>
                      <wps:spPr>
                        <a:xfrm>
                          <a:off x="0" y="0"/>
                          <a:ext cx="752868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40.6pt;width:592.7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r>
    </w:p>
    <w:p>
      <w:pPr>
        <w:pStyle w:val="Contenudecadre"/>
        <w:overflowPunct w:val="true"/>
        <w:spacing w:lineRule="auto" w:line="240" w:before="0" w:after="0"/>
        <w:rPr>
          <w:rFonts w:ascii="Calibri" w:hAnsi="Calibri" w:eastAsia="Calibri" w:cs=""/>
          <w:color w:val="00000A"/>
          <w:kern w:val="0"/>
          <w:sz w:val="22"/>
          <w:szCs w:val="22"/>
          <w:lang w:val="fr-FR" w:eastAsia="en-US" w:bidi="ar-SA"/>
        </w:rPr>
      </w:pPr>
      <w:r>
        <w:rPr>
          <w:rFonts w:eastAsia="Calibri" w:cs=""/>
          <w:color w:val="00000A"/>
          <w:kern w:val="0"/>
          <w:sz w:val="22"/>
          <w:szCs w:val="22"/>
          <w:lang w:val="fr-FR" w:eastAsia="en-US" w:bidi="ar-SA"/>
        </w:rPr>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bookmarkEnd w:id="7"/>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6620" cy="2427605"/>
                <wp:effectExtent l="0" t="0" r="0" b="0"/>
                <wp:wrapNone/>
                <wp:docPr id="43"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50785" cy="139065"/>
                <wp:effectExtent l="0" t="0" r="0" b="0"/>
                <wp:wrapNone/>
                <wp:docPr id="44"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6620" cy="2653665"/>
                <wp:effectExtent l="0" t="0" r="0" b="0"/>
                <wp:wrapNone/>
                <wp:docPr id="46"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324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bookmarkEnd w:id="8"/>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149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74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6620" cy="2427605"/>
                <wp:effectExtent l="0" t="0" r="0" b="0"/>
                <wp:wrapNone/>
                <wp:docPr id="48"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50785" cy="139065"/>
                <wp:effectExtent l="0" t="0" r="0" b="0"/>
                <wp:wrapNone/>
                <wp:docPr id="49"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6620" cy="2653665"/>
                <wp:effectExtent l="0" t="0" r="0" b="0"/>
                <wp:wrapNone/>
                <wp:docPr id="51"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des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bookmarkEnd w:id="9"/>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55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6620" cy="2427605"/>
                <wp:effectExtent l="0" t="0" r="0" b="0"/>
                <wp:wrapNone/>
                <wp:docPr id="53"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50785" cy="139065"/>
                <wp:effectExtent l="0" t="0" r="0" b="0"/>
                <wp:wrapNone/>
                <wp:docPr id="54"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6620" cy="2653665"/>
                <wp:effectExtent l="0" t="0" r="0" b="0"/>
                <wp:wrapNone/>
                <wp:docPr id="56"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true"/>
                              <w:spacing w:lineRule="auto" w:line="240" w:before="0" w:after="0"/>
                              <w:rPr/>
                            </w:pPr>
                            <w:r>
                              <w:rPr>
                                <w:rFonts w:eastAsia="Calibri" w:cs="" w:cstheme="minorBidi" w:eastAsiaTheme="minorHAnsi"/>
                                <w:b w:val="false"/>
                                <w:bCs/>
                                <w:i w:val="false"/>
                                <w:strike w:val="false"/>
                                <w:dstrike w:val="false"/>
                                <w:outline w:val="false"/>
                                <w:shadow w:val="false"/>
                                <w:color w:val="000000"/>
                                <w:sz w:val="17"/>
                                <w:u w:val="none"/>
                                <w:em w:val="none"/>
                              </w:rPr>
                              <w:t xml:space="preserve">ATELIERS PERRAULT, 147 personnes, est spécialisée en menuiserie, ébénisterie, charpente, ferronnerie et serrurerie d’art (labellisée « Entreprise du Patrimoine Vivant » et située en « Territoire d’Industrie »). L’objectif est de pérenniser, développer et assurer la compétitivité de ce site industriel. </w:t>
                            </w:r>
                            <w:r>
                              <w:rPr>
                                <w:rFonts w:eastAsia="Calibri" w:cs="" w:cstheme="minorBidi" w:eastAsiaTheme="minorHAnsi"/>
                                <w:b w:val="false"/>
                                <w:bCs/>
                                <w:i w:val="false"/>
                                <w:strike w:val="false"/>
                                <w:dstrike w:val="false"/>
                                <w:outline w:val="false"/>
                                <w:shadow w:val="false"/>
                                <w:color w:val="000000"/>
                                <w:sz w:val="17"/>
                                <w:u w:val="none"/>
                                <w:em w:val="none"/>
                              </w:rPr>
                              <w:t>Cette société porte</w:t>
                            </w:r>
                            <w:r>
                              <w:rPr>
                                <w:rFonts w:eastAsia="Calibri" w:cs="" w:cstheme="minorBidi" w:eastAsiaTheme="minorHAnsi"/>
                                <w:b w:val="false"/>
                                <w:bCs/>
                                <w:i w:val="false"/>
                                <w:strike w:val="false"/>
                                <w:dstrike w:val="false"/>
                                <w:outline w:val="false"/>
                                <w:shadow w:val="false"/>
                                <w:color w:val="000000"/>
                                <w:sz w:val="17"/>
                                <w:u w:val="none"/>
                                <w:em w:val="none"/>
                              </w:rPr>
                              <w:t xml:space="preserve"> ce projet d’extension, modernisation et industrialisation 4.0 par des  investissements matériels industriels novateurs, soucieux des problématiques environnementales et des conditions de travail. 3,1 M€. 10 créations d’emplois.</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i w:val="false"/>
                                <w:strike w:val="false"/>
                                <w:dstrike w:val="false"/>
                                <w:outline w:val="false"/>
                                <w:shadow w:val="false"/>
                                <w:color w:val="000000"/>
                                <w:sz w:val="17"/>
                                <w:u w:val="none"/>
                                <w:em w:val="none"/>
                              </w:rPr>
                              <w:t xml:space="preserve">BRIAND (1 200 personnes), construction bois bio sourcée, porte ce projet de modernisation, d’industrialisation et </w:t>
                            </w:r>
                            <w:r>
                              <w:rPr>
                                <w:rFonts w:eastAsia="Calibri" w:cs="" w:cstheme="minorBidi" w:eastAsiaTheme="minorHAnsi"/>
                                <w:b w:val="false"/>
                                <w:bCs/>
                                <w:i w:val="false"/>
                                <w:strike w:val="false"/>
                                <w:dstrike w:val="false"/>
                                <w:outline w:val="false"/>
                                <w:shadow w:val="false"/>
                                <w:color w:val="000000"/>
                                <w:sz w:val="17"/>
                                <w:u w:val="none"/>
                                <w:em w:val="none"/>
                              </w:rPr>
                              <w:t>de</w:t>
                            </w:r>
                            <w:r>
                              <w:rPr>
                                <w:rFonts w:eastAsia="Calibri" w:cs="" w:cstheme="minorBidi" w:eastAsiaTheme="minorHAnsi"/>
                                <w:b w:val="false"/>
                                <w:bCs/>
                                <w:i w:val="false"/>
                                <w:strike w:val="false"/>
                                <w:dstrike w:val="false"/>
                                <w:outline w:val="false"/>
                                <w:shadow w:val="false"/>
                                <w:color w:val="000000"/>
                                <w:sz w:val="17"/>
                                <w:u w:val="none"/>
                                <w:em w:val="none"/>
                              </w:rPr>
                              <w:t xml:space="preserve"> diversification du site de Verrières-en-Anjou. 19,1 M€ investissement, 40 créations d’emplois.</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i w:val="false"/>
                                <w:strike w:val="false"/>
                                <w:dstrike w:val="false"/>
                                <w:outline w:val="false"/>
                                <w:shadow w:val="false"/>
                                <w:color w:val="00000A"/>
                                <w:sz w:val="17"/>
                                <w:u w:val="none"/>
                                <w:em w:val="none"/>
                              </w:rPr>
                              <w:t>LA SOCIETE DE TOLERIE INDUSTRIELLE FRANCAISE, PME, 92 salariés (groupe 150 salariés), est le premier fabricant français de composants pour la manutention de produits en vrac. Elle connait un fort développement lié à une politique d’innovation et d’investissement (augmentation de 57% CA et 61% de ses effectifs entre 2010 et 2019, 70% CA réalisé à l’export dans 60 pays). Elle s’est spécialisée récemment sur le marché de la protection des explosions en milieu industriel (conception de panneaux qui permettent d’éviter la propagation d’une explosion (VIGILEX) en partenariat avec INERIS). Projet structurant et cohérent pour cette PME. 2,4M€. 10 créations d’emplois.</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true"/>
                        <w:spacing w:lineRule="auto" w:line="240" w:before="0" w:after="0"/>
                        <w:rPr/>
                      </w:pPr>
                      <w:r>
                        <w:rPr>
                          <w:rFonts w:eastAsia="Calibri" w:cs="" w:cstheme="minorBidi" w:eastAsiaTheme="minorHAnsi"/>
                          <w:b w:val="false"/>
                          <w:bCs/>
                          <w:i w:val="false"/>
                          <w:strike w:val="false"/>
                          <w:dstrike w:val="false"/>
                          <w:outline w:val="false"/>
                          <w:shadow w:val="false"/>
                          <w:color w:val="000000"/>
                          <w:sz w:val="17"/>
                          <w:u w:val="none"/>
                          <w:em w:val="none"/>
                        </w:rPr>
                        <w:t xml:space="preserve">ATELIERS PERRAULT, 147 personnes, est spécialisée en menuiserie, ébénisterie, charpente, ferronnerie et serrurerie d’art (labellisée « Entreprise du Patrimoine Vivant » et située en « Territoire d’Industrie »). L’objectif est de pérenniser, développer et assurer la compétitivité de ce site industriel. </w:t>
                      </w:r>
                      <w:r>
                        <w:rPr>
                          <w:rFonts w:eastAsia="Calibri" w:cs="" w:cstheme="minorBidi" w:eastAsiaTheme="minorHAnsi"/>
                          <w:b w:val="false"/>
                          <w:bCs/>
                          <w:i w:val="false"/>
                          <w:strike w:val="false"/>
                          <w:dstrike w:val="false"/>
                          <w:outline w:val="false"/>
                          <w:shadow w:val="false"/>
                          <w:color w:val="000000"/>
                          <w:sz w:val="17"/>
                          <w:u w:val="none"/>
                          <w:em w:val="none"/>
                        </w:rPr>
                        <w:t>Cette société porte</w:t>
                      </w:r>
                      <w:r>
                        <w:rPr>
                          <w:rFonts w:eastAsia="Calibri" w:cs="" w:cstheme="minorBidi" w:eastAsiaTheme="minorHAnsi"/>
                          <w:b w:val="false"/>
                          <w:bCs/>
                          <w:i w:val="false"/>
                          <w:strike w:val="false"/>
                          <w:dstrike w:val="false"/>
                          <w:outline w:val="false"/>
                          <w:shadow w:val="false"/>
                          <w:color w:val="000000"/>
                          <w:sz w:val="17"/>
                          <w:u w:val="none"/>
                          <w:em w:val="none"/>
                        </w:rPr>
                        <w:t xml:space="preserve"> ce projet d’extension, modernisation et industrialisation 4.0 par des  investissements matériels industriels novateurs, soucieux des problématiques environnementales et des conditions de travail. 3,1 M€. 10 créations d’emplois.</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i w:val="false"/>
                          <w:strike w:val="false"/>
                          <w:dstrike w:val="false"/>
                          <w:outline w:val="false"/>
                          <w:shadow w:val="false"/>
                          <w:color w:val="000000"/>
                          <w:sz w:val="17"/>
                          <w:u w:val="none"/>
                          <w:em w:val="none"/>
                        </w:rPr>
                        <w:t xml:space="preserve">BRIAND (1 200 personnes), construction bois bio sourcée, porte ce projet de modernisation, d’industrialisation et </w:t>
                      </w:r>
                      <w:r>
                        <w:rPr>
                          <w:rFonts w:eastAsia="Calibri" w:cs="" w:cstheme="minorBidi" w:eastAsiaTheme="minorHAnsi"/>
                          <w:b w:val="false"/>
                          <w:bCs/>
                          <w:i w:val="false"/>
                          <w:strike w:val="false"/>
                          <w:dstrike w:val="false"/>
                          <w:outline w:val="false"/>
                          <w:shadow w:val="false"/>
                          <w:color w:val="000000"/>
                          <w:sz w:val="17"/>
                          <w:u w:val="none"/>
                          <w:em w:val="none"/>
                        </w:rPr>
                        <w:t>de</w:t>
                      </w:r>
                      <w:r>
                        <w:rPr>
                          <w:rFonts w:eastAsia="Calibri" w:cs="" w:cstheme="minorBidi" w:eastAsiaTheme="minorHAnsi"/>
                          <w:b w:val="false"/>
                          <w:bCs/>
                          <w:i w:val="false"/>
                          <w:strike w:val="false"/>
                          <w:dstrike w:val="false"/>
                          <w:outline w:val="false"/>
                          <w:shadow w:val="false"/>
                          <w:color w:val="000000"/>
                          <w:sz w:val="17"/>
                          <w:u w:val="none"/>
                          <w:em w:val="none"/>
                        </w:rPr>
                        <w:t xml:space="preserve"> diversification du site de Verrières-en-Anjou. 19,1 M€ investissement, 40 créations d’emplois.</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i w:val="false"/>
                          <w:strike w:val="false"/>
                          <w:dstrike w:val="false"/>
                          <w:outline w:val="false"/>
                          <w:shadow w:val="false"/>
                          <w:color w:val="00000A"/>
                          <w:sz w:val="17"/>
                          <w:u w:val="none"/>
                          <w:em w:val="none"/>
                        </w:rPr>
                        <w:t>LA SOCIETE DE TOLERIE INDUSTRIELLE FRANCAISE, PME, 92 salariés (groupe 150 salariés), est le premier fabricant français de composants pour la manutention de produits en vrac. Elle connait un fort développement lié à une politique d’innovation et d’investissement (augmentation de 57% CA et 61% de ses effectifs entre 2010 et 2019, 70% CA réalisé à l’export dans 60 pays). Elle s’est spécialisée récemment sur le marché de la protection des explosions en milieu industriel (conception de panneaux qui permettent d’éviter la propagation d’une explosion (VIGILEX) en partenariat avec INERIS). Projet structurant et cohérent pour cette PME. 2,4M€. 10 créations d’emplois.</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6</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bookmarkEnd w:id="10"/>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6620" cy="2427605"/>
                <wp:effectExtent l="0" t="0" r="0" b="0"/>
                <wp:wrapNone/>
                <wp:docPr id="58"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50785" cy="139065"/>
                <wp:effectExtent l="0" t="0" r="0" b="0"/>
                <wp:wrapNone/>
                <wp:docPr id="59"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6620" cy="2653665"/>
                <wp:effectExtent l="0" t="0" r="0" b="0"/>
                <wp:wrapNone/>
                <wp:docPr id="61"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Fonts w:eastAsia="Calibri" w:cs=""/>
                                <w:b w:val="false"/>
                                <w:bCs/>
                                <w:i w:val="false"/>
                                <w:strike w:val="false"/>
                                <w:dstrike w:val="false"/>
                                <w:outline w:val="false"/>
                                <w:shadow w:val="false"/>
                                <w:color w:val="000000"/>
                                <w:kern w:val="0"/>
                                <w:sz w:val="17"/>
                                <w:szCs w:val="22"/>
                                <w:u w:val="none"/>
                                <w:em w:val="none"/>
                                <w:lang w:val="fr-FR" w:eastAsia="en-US" w:bidi="ar-SA"/>
                              </w:rPr>
                              <w:t xml:space="preserve">FILAVIE (Sevremoine) : </w:t>
                            </w:r>
                            <w:r>
                              <w:rPr>
                                <w:rFonts w:eastAsia="Calibri" w:cs=""/>
                                <w:b w:val="false"/>
                                <w:i w:val="false"/>
                                <w:strike w:val="false"/>
                                <w:dstrike w:val="false"/>
                                <w:outline w:val="false"/>
                                <w:shadow w:val="false"/>
                                <w:color w:val="000000"/>
                                <w:kern w:val="0"/>
                                <w:sz w:val="17"/>
                                <w:szCs w:val="22"/>
                                <w:u w:val="none"/>
                                <w:em w:val="none"/>
                                <w:lang w:val="fr-FR" w:eastAsia="en-US" w:bidi="ar-SA"/>
                              </w:rPr>
                              <w:t>Le</w:t>
                            </w:r>
                            <w:r>
                              <w:rPr>
                                <w:b w:val="false"/>
                                <w:i w:val="false"/>
                                <w:strike w:val="false"/>
                                <w:dstrike w:val="false"/>
                                <w:outline w:val="false"/>
                                <w:shadow w:val="false"/>
                                <w:color w:val="000000"/>
                                <w:sz w:val="17"/>
                                <w:u w:val="none"/>
                                <w:em w:val="none"/>
                              </w:rPr>
                              <w:t xml:space="preserve"> projet « FILAXIE » vise à développer et à produire, en France, une gamme de vaccins innovants pour les animaux d’élevage (canards, pintades...), plus particulièrement ceux des filières agroalimentaires typiquement françaises, délaissées progressivement par les firmes pharmaceutiques. Les vaccins viraux inscrits dans le projet FILAXIE contribuent au maintien de la souveraineté française et à l’autonomie de la France dans la protection de la sécurité sanitaire de ces filières.</w:t>
                            </w:r>
                          </w:p>
                          <w:p>
                            <w:pPr>
                              <w:pStyle w:val="Normal"/>
                              <w:bidi w:val="0"/>
                              <w:jc w:val="left"/>
                              <w:rPr/>
                            </w:pPr>
                            <w:r>
                              <w:rPr>
                                <w:b w:val="false"/>
                                <w:i w:val="false"/>
                                <w:strike w:val="false"/>
                                <w:dstrike w:val="false"/>
                                <w:outline w:val="false"/>
                                <w:shadow w:val="false"/>
                                <w:color w:val="000000"/>
                                <w:sz w:val="17"/>
                                <w:u w:val="none"/>
                                <w:em w:val="none"/>
                              </w:rPr>
                              <w:t>Outre le développement de nouveaux vaccins, le projet FILAXIE comprend le redéploiement des capacités de production de deux vaccins étrangers en France, et contribue à la durabilité de l’autonomie de la France en matière de soutien de la production agroalimentaire. Relocalisation – 1,4 M€ d’aide</w:t>
                            </w:r>
                          </w:p>
                          <w:p>
                            <w:pPr>
                              <w:pStyle w:val="Normal"/>
                              <w:overflowPunct w:val="true"/>
                              <w:spacing w:lineRule="auto" w:line="240" w:before="0" w:after="0"/>
                              <w:rPr/>
                            </w:pPr>
                            <w:r>
                              <w:rPr>
                                <w:rFonts w:eastAsia="Calibri" w:cs=""/>
                                <w:b w:val="false"/>
                                <w:bCs/>
                                <w:i w:val="false"/>
                                <w:strike w:val="false"/>
                                <w:dstrike w:val="false"/>
                                <w:outline w:val="false"/>
                                <w:shadow w:val="false"/>
                                <w:color w:val="000000"/>
                                <w:kern w:val="0"/>
                                <w:sz w:val="17"/>
                                <w:szCs w:val="22"/>
                                <w:u w:val="none"/>
                                <w:em w:val="none"/>
                                <w:lang w:val="fr-FR" w:eastAsia="en-US" w:bidi="ar-SA"/>
                              </w:rPr>
                              <w:t xml:space="preserve">SOREDAB (Vilhiers) : </w:t>
                            </w:r>
                            <w:r>
                              <w:rPr>
                                <w:b w:val="false"/>
                                <w:i w:val="false"/>
                                <w:strike w:val="false"/>
                                <w:dstrike w:val="false"/>
                                <w:outline w:val="false"/>
                                <w:shadow w:val="false"/>
                                <w:color w:val="000000"/>
                                <w:sz w:val="17"/>
                                <w:u w:val="none"/>
                                <w:em w:val="none"/>
                              </w:rPr>
                              <w:t>L'objectif est de devenir à l’échelle mondiale des pionniers et des leaders de la protéine végétale, en développant une offre large d’alternatives aux produits laitiers qui soit très qualitative, don</w:t>
                            </w:r>
                            <w:r>
                              <w:rPr>
                                <w:b w:val="false"/>
                                <w:i w:val="false"/>
                                <w:strike w:val="false"/>
                                <w:dstrike w:val="false"/>
                                <w:outline w:val="false"/>
                                <w:shadow w:val="false"/>
                                <w:color w:val="000000"/>
                                <w:sz w:val="17"/>
                                <w:u w:val="none"/>
                                <w:em w:val="none"/>
                              </w:rPr>
                              <w:t xml:space="preserve">t </w:t>
                            </w:r>
                            <w:r>
                              <w:rPr>
                                <w:b w:val="false"/>
                                <w:i w:val="false"/>
                                <w:strike w:val="false"/>
                                <w:dstrike w:val="false"/>
                                <w:outline w:val="false"/>
                                <w:shadow w:val="false"/>
                                <w:color w:val="000000"/>
                                <w:sz w:val="17"/>
                                <w:u w:val="none"/>
                                <w:em w:val="none"/>
                              </w:rPr>
                              <w:t>la recherche et la production seront basées en France, avec à terme un approvisionnement en matières premières végétales qui sera majoritairement français. Relocalisation – 1,7 M€ d’aide</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Fonts w:eastAsia="Calibri" w:cs=""/>
                          <w:b w:val="false"/>
                          <w:bCs/>
                          <w:i w:val="false"/>
                          <w:strike w:val="false"/>
                          <w:dstrike w:val="false"/>
                          <w:outline w:val="false"/>
                          <w:shadow w:val="false"/>
                          <w:color w:val="000000"/>
                          <w:kern w:val="0"/>
                          <w:sz w:val="17"/>
                          <w:szCs w:val="22"/>
                          <w:u w:val="none"/>
                          <w:em w:val="none"/>
                          <w:lang w:val="fr-FR" w:eastAsia="en-US" w:bidi="ar-SA"/>
                        </w:rPr>
                        <w:t xml:space="preserve">FILAVIE (Sevremoine) : </w:t>
                      </w:r>
                      <w:r>
                        <w:rPr>
                          <w:rFonts w:eastAsia="Calibri" w:cs=""/>
                          <w:b w:val="false"/>
                          <w:i w:val="false"/>
                          <w:strike w:val="false"/>
                          <w:dstrike w:val="false"/>
                          <w:outline w:val="false"/>
                          <w:shadow w:val="false"/>
                          <w:color w:val="000000"/>
                          <w:kern w:val="0"/>
                          <w:sz w:val="17"/>
                          <w:szCs w:val="22"/>
                          <w:u w:val="none"/>
                          <w:em w:val="none"/>
                          <w:lang w:val="fr-FR" w:eastAsia="en-US" w:bidi="ar-SA"/>
                        </w:rPr>
                        <w:t>Le</w:t>
                      </w:r>
                      <w:r>
                        <w:rPr>
                          <w:b w:val="false"/>
                          <w:i w:val="false"/>
                          <w:strike w:val="false"/>
                          <w:dstrike w:val="false"/>
                          <w:outline w:val="false"/>
                          <w:shadow w:val="false"/>
                          <w:color w:val="000000"/>
                          <w:sz w:val="17"/>
                          <w:u w:val="none"/>
                          <w:em w:val="none"/>
                        </w:rPr>
                        <w:t xml:space="preserve"> projet « FILAXIE » vise à développer et à produire, en France, une gamme de vaccins innovants pour les animaux d’élevage (canards, pintades...), plus particulièrement ceux des filières agroalimentaires typiquement françaises, délaissées progressivement par les firmes pharmaceutiques. Les vaccins viraux inscrits dans le projet FILAXIE contribuent au maintien de la souveraineté française et à l’autonomie de la France dans la protection de la sécurité sanitaire de ces filières.</w:t>
                      </w:r>
                    </w:p>
                    <w:p>
                      <w:pPr>
                        <w:pStyle w:val="Normal"/>
                        <w:bidi w:val="0"/>
                        <w:jc w:val="left"/>
                        <w:rPr/>
                      </w:pPr>
                      <w:r>
                        <w:rPr>
                          <w:b w:val="false"/>
                          <w:i w:val="false"/>
                          <w:strike w:val="false"/>
                          <w:dstrike w:val="false"/>
                          <w:outline w:val="false"/>
                          <w:shadow w:val="false"/>
                          <w:color w:val="000000"/>
                          <w:sz w:val="17"/>
                          <w:u w:val="none"/>
                          <w:em w:val="none"/>
                        </w:rPr>
                        <w:t>Outre le développement de nouveaux vaccins, le projet FILAXIE comprend le redéploiement des capacités de production de deux vaccins étrangers en France, et contribue à la durabilité de l’autonomie de la France en matière de soutien de la production agroalimentaire. Relocalisation – 1,4 M€ d’aide</w:t>
                      </w:r>
                    </w:p>
                    <w:p>
                      <w:pPr>
                        <w:pStyle w:val="Normal"/>
                        <w:overflowPunct w:val="true"/>
                        <w:spacing w:lineRule="auto" w:line="240" w:before="0" w:after="0"/>
                        <w:rPr/>
                      </w:pPr>
                      <w:r>
                        <w:rPr>
                          <w:rFonts w:eastAsia="Calibri" w:cs=""/>
                          <w:b w:val="false"/>
                          <w:bCs/>
                          <w:i w:val="false"/>
                          <w:strike w:val="false"/>
                          <w:dstrike w:val="false"/>
                          <w:outline w:val="false"/>
                          <w:shadow w:val="false"/>
                          <w:color w:val="000000"/>
                          <w:kern w:val="0"/>
                          <w:sz w:val="17"/>
                          <w:szCs w:val="22"/>
                          <w:u w:val="none"/>
                          <w:em w:val="none"/>
                          <w:lang w:val="fr-FR" w:eastAsia="en-US" w:bidi="ar-SA"/>
                        </w:rPr>
                        <w:t xml:space="preserve">SOREDAB (Vilhiers) : </w:t>
                      </w:r>
                      <w:r>
                        <w:rPr>
                          <w:b w:val="false"/>
                          <w:i w:val="false"/>
                          <w:strike w:val="false"/>
                          <w:dstrike w:val="false"/>
                          <w:outline w:val="false"/>
                          <w:shadow w:val="false"/>
                          <w:color w:val="000000"/>
                          <w:sz w:val="17"/>
                          <w:u w:val="none"/>
                          <w:em w:val="none"/>
                        </w:rPr>
                        <w:t>L'objectif est de devenir à l’échelle mondiale des pionniers et des leaders de la protéine végétale, en développant une offre large d’alternatives aux produits laitiers qui soit très qualitative, don</w:t>
                      </w:r>
                      <w:r>
                        <w:rPr>
                          <w:b w:val="false"/>
                          <w:i w:val="false"/>
                          <w:strike w:val="false"/>
                          <w:dstrike w:val="false"/>
                          <w:outline w:val="false"/>
                          <w:shadow w:val="false"/>
                          <w:color w:val="000000"/>
                          <w:sz w:val="17"/>
                          <w:u w:val="none"/>
                          <w:em w:val="none"/>
                        </w:rPr>
                        <w:t xml:space="preserve">t </w:t>
                      </w:r>
                      <w:r>
                        <w:rPr>
                          <w:b w:val="false"/>
                          <w:i w:val="false"/>
                          <w:strike w:val="false"/>
                          <w:dstrike w:val="false"/>
                          <w:outline w:val="false"/>
                          <w:shadow w:val="false"/>
                          <w:color w:val="000000"/>
                          <w:sz w:val="17"/>
                          <w:u w:val="none"/>
                          <w:em w:val="none"/>
                        </w:rPr>
                        <w:t>la recherche et la production seront basées en France, avec à terme un approvisionnement en matières premières végétales qui sera majoritairement français. Relocalisation – 1,7 M€ d’aide</w:t>
                      </w:r>
                    </w:p>
                    <w:p>
                      <w:pPr>
                        <w:pStyle w:val="Normal"/>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54</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bookmarkEnd w:id="11"/>
            <w:r>
              <w:rPr>
                <w:b/>
                <w:bCs/>
                <w:sz w:val="20"/>
                <w:szCs w:val="20"/>
              </w:rPr>
              <w:t>: Pays de la Loire</w:t>
            </w:r>
          </w:p>
        </w:tc>
      </w:tr>
      <w:tr>
        <w:trPr>
          <w:trHeight w:val="450"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158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158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131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131  </w:t>
            </w:r>
          </w:p>
        </w:tc>
      </w:tr>
      <w:tr>
        <w:trPr>
          <w:trHeight w:val="545"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2600"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  </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  </w:t>
            </w:r>
          </w:p>
        </w:tc>
      </w:tr>
      <w:tr>
        <w:trPr>
          <w:trHeight w:val="617" w:hRule="atLeast"/>
        </w:trPr>
        <w:tc>
          <w:tcPr>
            <w:tcW w:w="2600"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  </w:t>
            </w:r>
          </w:p>
        </w:tc>
        <w:tc>
          <w:tcPr>
            <w:tcW w:w="2375"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6620" cy="2427605"/>
                <wp:effectExtent l="0" t="0" r="0" b="0"/>
                <wp:wrapNone/>
                <wp:docPr id="63"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50785" cy="139065"/>
                <wp:effectExtent l="0" t="0" r="0" b="0"/>
                <wp:wrapNone/>
                <wp:docPr id="64"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5">
                <wp:simplePos x="0" y="0"/>
                <wp:positionH relativeFrom="column">
                  <wp:posOffset>0</wp:posOffset>
                </wp:positionH>
                <wp:positionV relativeFrom="paragraph">
                  <wp:posOffset>28575</wp:posOffset>
                </wp:positionV>
                <wp:extent cx="5976620" cy="2653665"/>
                <wp:effectExtent l="0" t="0" r="0" b="0"/>
                <wp:wrapNone/>
                <wp:docPr id="66"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113">
                <wp:simplePos x="0" y="0"/>
                <wp:positionH relativeFrom="column">
                  <wp:posOffset>-877570</wp:posOffset>
                </wp:positionH>
                <wp:positionV relativeFrom="paragraph">
                  <wp:posOffset>7219950</wp:posOffset>
                </wp:positionV>
                <wp:extent cx="7529195" cy="139065"/>
                <wp:effectExtent l="0" t="0" r="0" b="0"/>
                <wp:wrapNone/>
                <wp:docPr id="68" name="Forme2"/>
                <a:graphic xmlns:a="http://schemas.openxmlformats.org/drawingml/2006/main">
                  <a:graphicData uri="http://schemas.microsoft.com/office/word/2010/wordprocessingShape">
                    <wps:wsp>
                      <wps:cNvSpPr/>
                      <wps:spPr>
                        <a:xfrm>
                          <a:off x="0" y="0"/>
                          <a:ext cx="752868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7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pBdr>
          <w:top w:val="single" w:sz="2" w:space="1" w:color="000001"/>
          <w:left w:val="single" w:sz="2" w:space="1" w:color="000001"/>
          <w:bottom w:val="single" w:sz="2" w:space="1" w:color="000001"/>
          <w:right w:val="single" w:sz="2" w:space="1" w:color="000001"/>
        </w:pBdr>
        <w:overflowPunct w:val="true"/>
        <w:spacing w:lineRule="auto" w:line="240" w:before="0" w:after="0"/>
        <w:rPr/>
      </w:pPr>
      <w:r>
        <w:rPr>
          <w:rFonts w:eastAsia="Calibri" w:cs="" w:cstheme="minorBidi" w:eastAsiaTheme="minorHAnsi"/>
          <w:b/>
          <w:bCs/>
          <w:color w:val="00000A"/>
        </w:rPr>
        <w:t>Commentaires généraux :</w:t>
      </w:r>
    </w:p>
    <w:p>
      <w:pPr>
        <w:pStyle w:val="Normal"/>
        <w:pBdr>
          <w:top w:val="single" w:sz="2" w:space="1" w:color="000001"/>
          <w:left w:val="single" w:sz="2" w:space="1" w:color="000001"/>
          <w:bottom w:val="single" w:sz="2" w:space="1" w:color="000001"/>
          <w:right w:val="single" w:sz="2" w:space="1" w:color="000001"/>
        </w:pBdr>
        <w:overflowPunct w:val="tru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02inter2"/>
        <w:pBdr>
          <w:top w:val="single" w:sz="2" w:space="1" w:color="000001"/>
          <w:left w:val="single" w:sz="2" w:space="1" w:color="000001"/>
          <w:bottom w:val="single" w:sz="2" w:space="1" w:color="000001"/>
          <w:right w:val="single" w:sz="2" w:space="1" w:color="000001"/>
        </w:pBdr>
        <w:rPr>
          <w:rFonts w:ascii="Calibri" w:hAnsi="Calibri" w:eastAsia="Times New Roman" w:cs="Calibri"/>
          <w:b w:val="false"/>
          <w:b w:val="false"/>
          <w:bCs w:val="false"/>
          <w:color w:val="00000A"/>
          <w:kern w:val="0"/>
          <w:sz w:val="22"/>
          <w:szCs w:val="22"/>
          <w:u w:val="none"/>
          <w:lang w:val="fr-FR" w:eastAsia="en-US" w:bidi="ar-SA"/>
        </w:rPr>
      </w:pPr>
      <w:r>
        <w:rPr>
          <w:rFonts w:eastAsia="Times New Roman" w:cs="Calibri" w:ascii="Calibri" w:hAnsi="Calibri"/>
          <w:b w:val="false"/>
          <w:bCs w:val="false"/>
          <w:color w:val="00000A"/>
          <w:kern w:val="0"/>
          <w:sz w:val="22"/>
          <w:szCs w:val="22"/>
          <w:u w:val="none"/>
          <w:lang w:val="fr-FR" w:eastAsia="en-US" w:bidi="ar-SA"/>
        </w:rPr>
        <w:t>En Maine-et-Loire, plus de 19 000 jeunes ont bénéficié du plan 1 jeunes-1 solution à ce jour , à différents titres et notamment :</w:t>
      </w:r>
    </w:p>
    <w:p>
      <w:pPr>
        <w:pStyle w:val="ListParagraph"/>
        <w:pBdr>
          <w:top w:val="single" w:sz="2" w:space="1" w:color="000001"/>
          <w:left w:val="single" w:sz="2" w:space="1" w:color="000001"/>
          <w:bottom w:val="single" w:sz="2" w:space="1" w:color="000001"/>
          <w:right w:val="single" w:sz="2" w:space="1" w:color="000001"/>
        </w:pBdr>
        <w:bidi w:val="0"/>
        <w:spacing w:lineRule="auto" w:line="240" w:before="0" w:after="0"/>
        <w:ind w:left="0" w:right="0" w:hanging="0"/>
        <w:jc w:val="both"/>
        <w:rPr>
          <w:rFonts w:ascii="Calibri" w:hAnsi="Calibri" w:eastAsia="Times New Roman" w:cs="Calibri"/>
          <w:b w:val="false"/>
          <w:b w:val="false"/>
          <w:bCs w:val="false"/>
          <w:color w:val="00000A"/>
          <w:kern w:val="0"/>
          <w:sz w:val="22"/>
          <w:szCs w:val="22"/>
          <w:u w:val="none"/>
          <w:lang w:val="fr-FR" w:eastAsia="en-US" w:bidi="ar-SA"/>
        </w:rPr>
      </w:pPr>
      <w:r>
        <w:rPr>
          <w:rFonts w:eastAsia="Times New Roman" w:cs="Calibri" w:ascii="Calibri" w:hAnsi="Calibri"/>
          <w:b w:val="false"/>
          <w:bCs w:val="false"/>
          <w:color w:val="00000A"/>
          <w:kern w:val="0"/>
          <w:sz w:val="22"/>
          <w:szCs w:val="22"/>
          <w:u w:val="none"/>
          <w:lang w:val="fr-FR" w:eastAsia="en-US" w:bidi="ar-SA"/>
        </w:rPr>
        <w:t>- 6270 primes à l’embauche</w:t>
      </w:r>
    </w:p>
    <w:p>
      <w:pPr>
        <w:pStyle w:val="ListParagraph"/>
        <w:pBdr>
          <w:top w:val="single" w:sz="2" w:space="1" w:color="000001"/>
          <w:left w:val="single" w:sz="2" w:space="1" w:color="000001"/>
          <w:bottom w:val="single" w:sz="2" w:space="1" w:color="000001"/>
          <w:right w:val="single" w:sz="2" w:space="1" w:color="000001"/>
        </w:pBdr>
        <w:bidi w:val="0"/>
        <w:spacing w:lineRule="auto" w:line="240" w:before="0" w:after="0"/>
        <w:ind w:left="0" w:right="0" w:hanging="0"/>
        <w:jc w:val="both"/>
        <w:rPr>
          <w:rFonts w:ascii="Calibri" w:hAnsi="Calibri" w:eastAsia="Times New Roman" w:cs="Calibri"/>
          <w:b w:val="false"/>
          <w:b w:val="false"/>
          <w:bCs w:val="false"/>
          <w:color w:val="00000A"/>
          <w:kern w:val="0"/>
          <w:sz w:val="22"/>
          <w:szCs w:val="22"/>
          <w:u w:val="none"/>
          <w:lang w:val="fr-FR" w:eastAsia="en-US" w:bidi="ar-SA"/>
        </w:rPr>
      </w:pPr>
      <w:r>
        <w:rPr>
          <w:rFonts w:eastAsia="Times New Roman" w:cs="Calibri" w:ascii="Calibri" w:hAnsi="Calibri"/>
          <w:b w:val="false"/>
          <w:bCs w:val="false"/>
          <w:color w:val="00000A"/>
          <w:kern w:val="0"/>
          <w:sz w:val="22"/>
          <w:szCs w:val="22"/>
          <w:u w:val="none"/>
          <w:lang w:val="fr-FR" w:eastAsia="en-US" w:bidi="ar-SA"/>
        </w:rPr>
        <w:t xml:space="preserve">- 6101 contrats d’apprentissage ayant bénéficié de l’aide exceptionnelle </w:t>
      </w:r>
    </w:p>
    <w:p>
      <w:pPr>
        <w:pStyle w:val="ListParagraph"/>
        <w:pBdr>
          <w:top w:val="single" w:sz="2" w:space="1" w:color="000001"/>
          <w:left w:val="single" w:sz="2" w:space="1" w:color="000001"/>
          <w:bottom w:val="single" w:sz="2" w:space="1" w:color="000001"/>
          <w:right w:val="single" w:sz="2" w:space="1" w:color="000001"/>
        </w:pBdr>
        <w:bidi w:val="0"/>
        <w:spacing w:lineRule="auto" w:line="240" w:before="0" w:after="0"/>
        <w:ind w:left="0" w:right="0" w:hanging="0"/>
        <w:jc w:val="both"/>
        <w:rPr>
          <w:rFonts w:ascii="Calibri" w:hAnsi="Calibri" w:eastAsia="Times New Roman" w:cs="Calibri"/>
          <w:b w:val="false"/>
          <w:b w:val="false"/>
          <w:bCs w:val="false"/>
          <w:i w:val="false"/>
          <w:i w:val="false"/>
          <w:iCs w:val="false"/>
          <w:color w:val="00000A"/>
          <w:kern w:val="0"/>
          <w:sz w:val="22"/>
          <w:szCs w:val="22"/>
          <w:u w:val="none"/>
          <w:lang w:val="fr-FR" w:eastAsia="en-US" w:bidi="ar-SA"/>
        </w:rPr>
      </w:pPr>
      <w:r>
        <w:rPr>
          <w:rFonts w:eastAsia="Times New Roman" w:cs="Calibri" w:ascii="Calibri" w:hAnsi="Calibri"/>
          <w:b w:val="false"/>
          <w:bCs w:val="false"/>
          <w:i w:val="false"/>
          <w:iCs w:val="false"/>
          <w:color w:val="00000A"/>
          <w:kern w:val="0"/>
          <w:sz w:val="22"/>
          <w:szCs w:val="22"/>
          <w:u w:val="none"/>
          <w:lang w:val="fr-FR" w:eastAsia="en-US" w:bidi="ar-SA"/>
        </w:rPr>
        <w:t>- 2581 avec un accompagnement intensif par Pôle Emploi</w:t>
      </w:r>
    </w:p>
    <w:p>
      <w:pPr>
        <w:pStyle w:val="ListParagraph"/>
        <w:pBdr>
          <w:top w:val="single" w:sz="2" w:space="1" w:color="000001"/>
          <w:left w:val="single" w:sz="2" w:space="1" w:color="000001"/>
          <w:bottom w:val="single" w:sz="2" w:space="1" w:color="000001"/>
          <w:right w:val="single" w:sz="2" w:space="1" w:color="000001"/>
        </w:pBdr>
        <w:bidi w:val="0"/>
        <w:spacing w:lineRule="auto" w:line="240" w:before="0" w:after="0"/>
        <w:ind w:left="0" w:right="0" w:hanging="0"/>
        <w:jc w:val="both"/>
        <w:rPr>
          <w:rFonts w:ascii="Calibri" w:hAnsi="Calibri" w:eastAsia="Times New Roman" w:cs="Calibri"/>
          <w:b w:val="false"/>
          <w:b w:val="false"/>
          <w:bCs w:val="false"/>
          <w:i w:val="false"/>
          <w:i w:val="false"/>
          <w:iCs w:val="false"/>
          <w:color w:val="00000A"/>
          <w:kern w:val="0"/>
          <w:sz w:val="22"/>
          <w:szCs w:val="22"/>
          <w:u w:val="none"/>
          <w:lang w:val="fr-FR" w:eastAsia="en-US" w:bidi="ar-SA"/>
        </w:rPr>
      </w:pPr>
      <w:r>
        <w:rPr>
          <w:rFonts w:eastAsia="Times New Roman" w:cs="Calibri" w:ascii="Calibri" w:hAnsi="Calibri"/>
          <w:b w:val="false"/>
          <w:bCs w:val="false"/>
          <w:i w:val="false"/>
          <w:iCs w:val="false"/>
          <w:color w:val="00000A"/>
          <w:kern w:val="0"/>
          <w:sz w:val="22"/>
          <w:szCs w:val="22"/>
          <w:u w:val="none"/>
          <w:lang w:val="fr-FR" w:eastAsia="en-US" w:bidi="ar-SA"/>
        </w:rPr>
        <w:t>- 3430 bénéficiaires d’un PACEA (parcours contractualisé d’accompagnement vers l’emploi</w:t>
      </w:r>
    </w:p>
    <w:p>
      <w:pPr>
        <w:pStyle w:val="ListParagraph"/>
        <w:pBdr>
          <w:top w:val="single" w:sz="2" w:space="1" w:color="000001"/>
          <w:left w:val="single" w:sz="2" w:space="1" w:color="000001"/>
          <w:bottom w:val="single" w:sz="2" w:space="1" w:color="000001"/>
          <w:right w:val="single" w:sz="2" w:space="1" w:color="000001"/>
        </w:pBdr>
        <w:bidi w:val="0"/>
        <w:spacing w:lineRule="auto" w:line="240" w:before="0" w:after="0"/>
        <w:ind w:left="0" w:right="0" w:hanging="0"/>
        <w:jc w:val="both"/>
        <w:rPr>
          <w:rFonts w:ascii="Calibri" w:hAnsi="Calibri" w:eastAsia="Times New Roman" w:cs="Calibri"/>
          <w:b w:val="false"/>
          <w:b w:val="false"/>
          <w:bCs w:val="false"/>
          <w:i w:val="false"/>
          <w:i w:val="false"/>
          <w:iCs w:val="false"/>
          <w:color w:val="00000A"/>
          <w:kern w:val="0"/>
          <w:sz w:val="22"/>
          <w:szCs w:val="22"/>
          <w:u w:val="none"/>
          <w:lang w:val="fr-FR" w:eastAsia="en-US" w:bidi="ar-SA"/>
        </w:rPr>
      </w:pPr>
      <w:r>
        <w:rPr>
          <w:rFonts w:eastAsia="Times New Roman" w:cs="Calibri" w:ascii="Calibri" w:hAnsi="Calibri"/>
          <w:b w:val="false"/>
          <w:bCs w:val="false"/>
          <w:i w:val="false"/>
          <w:iCs w:val="false"/>
          <w:color w:val="00000A"/>
          <w:kern w:val="0"/>
          <w:sz w:val="22"/>
          <w:szCs w:val="22"/>
          <w:u w:val="none"/>
          <w:lang w:val="fr-FR" w:eastAsia="en-US" w:bidi="ar-SA"/>
        </w:rPr>
        <w:t xml:space="preserve"> </w:t>
      </w:r>
      <w:r>
        <w:rPr>
          <w:rFonts w:eastAsia="Times New Roman" w:cs="Calibri" w:ascii="Calibri" w:hAnsi="Calibri"/>
          <w:b w:val="false"/>
          <w:bCs w:val="false"/>
          <w:i w:val="false"/>
          <w:iCs w:val="false"/>
          <w:color w:val="00000A"/>
          <w:kern w:val="0"/>
          <w:sz w:val="22"/>
          <w:szCs w:val="22"/>
          <w:u w:val="none"/>
          <w:lang w:val="fr-FR" w:eastAsia="en-US" w:bidi="ar-SA"/>
        </w:rPr>
        <w:t>et l’autonomie)</w:t>
      </w:r>
    </w:p>
    <w:p>
      <w:pPr>
        <w:pStyle w:val="ListParagraph"/>
        <w:pBdr>
          <w:top w:val="single" w:sz="2" w:space="1" w:color="000001"/>
          <w:left w:val="single" w:sz="2" w:space="1" w:color="000001"/>
          <w:bottom w:val="single" w:sz="2" w:space="1" w:color="000001"/>
          <w:right w:val="single" w:sz="2" w:space="1" w:color="000001"/>
        </w:pBdr>
        <w:bidi w:val="0"/>
        <w:spacing w:lineRule="auto" w:line="240" w:before="0" w:after="0"/>
        <w:ind w:left="0" w:right="0" w:hanging="0"/>
        <w:jc w:val="both"/>
        <w:rPr>
          <w:rFonts w:ascii="Calibri" w:hAnsi="Calibri" w:eastAsia="Times New Roman" w:cs="Calibri"/>
          <w:b w:val="false"/>
          <w:b w:val="false"/>
          <w:bCs w:val="false"/>
          <w:i w:val="false"/>
          <w:i w:val="false"/>
          <w:iCs w:val="false"/>
          <w:color w:val="00000A"/>
          <w:kern w:val="0"/>
          <w:sz w:val="22"/>
          <w:szCs w:val="22"/>
          <w:u w:val="none"/>
          <w:lang w:val="fr-FR" w:eastAsia="en-US" w:bidi="ar-SA"/>
        </w:rPr>
      </w:pPr>
      <w:r>
        <w:rPr>
          <w:rFonts w:eastAsia="Times New Roman" w:cs="Calibri" w:ascii="Calibri" w:hAnsi="Calibri"/>
          <w:b w:val="false"/>
          <w:bCs w:val="false"/>
          <w:i w:val="false"/>
          <w:iCs w:val="false"/>
          <w:color w:val="00000A"/>
          <w:kern w:val="0"/>
          <w:sz w:val="22"/>
          <w:szCs w:val="22"/>
          <w:u w:val="none"/>
          <w:lang w:val="fr-FR" w:eastAsia="en-US" w:bidi="ar-SA"/>
        </w:rPr>
        <w:t>- 746 bénéficiaires de la Garantie Jeunes.</w:t>
      </w:r>
    </w:p>
    <w:p>
      <w:pPr>
        <w:pStyle w:val="02inter2"/>
        <w:pBdr>
          <w:top w:val="single" w:sz="2" w:space="1" w:color="000001"/>
          <w:left w:val="single" w:sz="2" w:space="1" w:color="000001"/>
          <w:bottom w:val="single" w:sz="2" w:space="1" w:color="000001"/>
          <w:right w:val="single" w:sz="2" w:space="1" w:color="000001"/>
        </w:pBdr>
        <w:overflowPunct w:val="true"/>
        <w:bidi w:val="0"/>
        <w:spacing w:lineRule="auto" w:line="240" w:before="0" w:after="0"/>
        <w:jc w:val="both"/>
        <w:rPr>
          <w:rFonts w:ascii="Calibri" w:hAnsi="Calibri" w:eastAsia="Times New Roman" w:cs="Calibri"/>
          <w:b w:val="false"/>
          <w:b w:val="false"/>
          <w:bCs w:val="false"/>
          <w:color w:val="00000A"/>
          <w:kern w:val="0"/>
          <w:sz w:val="22"/>
          <w:szCs w:val="22"/>
          <w:u w:val="none"/>
          <w:lang w:val="fr-FR" w:eastAsia="en-US" w:bidi="ar-SA"/>
        </w:rPr>
      </w:pPr>
      <w:r>
        <w:rPr>
          <w:rFonts w:eastAsia="Times New Roman" w:cs="Calibri" w:ascii="Calibri" w:hAnsi="Calibri"/>
          <w:b w:val="false"/>
          <w:bCs w:val="false"/>
          <w:color w:val="00000A"/>
          <w:kern w:val="0"/>
          <w:sz w:val="22"/>
          <w:szCs w:val="22"/>
          <w:u w:val="none"/>
          <w:lang w:val="fr-FR" w:eastAsia="en-US" w:bidi="ar-SA"/>
        </w:rPr>
      </w:r>
    </w:p>
    <w:p>
      <w:pPr>
        <w:pStyle w:val="02inter2"/>
        <w:pBdr>
          <w:top w:val="single" w:sz="2" w:space="1" w:color="000001"/>
          <w:left w:val="single" w:sz="2" w:space="1" w:color="000001"/>
          <w:bottom w:val="single" w:sz="2" w:space="1" w:color="000001"/>
          <w:right w:val="single" w:sz="2" w:space="1" w:color="000001"/>
        </w:pBdr>
        <w:overflowPunct w:val="true"/>
        <w:bidi w:val="0"/>
        <w:spacing w:lineRule="auto" w:line="240" w:before="0" w:after="0"/>
        <w:jc w:val="both"/>
        <w:rPr/>
      </w:pPr>
      <w:r>
        <w:rPr>
          <w:rFonts w:eastAsia="Times New Roman" w:cs="Calibri" w:ascii="Calibri" w:hAnsi="Calibri"/>
          <w:b w:val="false"/>
          <w:bCs w:val="false"/>
          <w:color w:val="00000A"/>
          <w:kern w:val="0"/>
          <w:sz w:val="22"/>
          <w:szCs w:val="22"/>
          <w:u w:val="none"/>
          <w:lang w:val="fr-FR" w:eastAsia="en-US" w:bidi="ar-SA"/>
        </w:rPr>
        <w:t xml:space="preserve">Autre facette essentielle de la « cohésion » de notre pays : France Relance </w:t>
      </w:r>
      <w:r>
        <w:rPr>
          <w:rFonts w:eastAsia="Times New Roman" w:cs="Calibri" w:ascii="Calibri" w:hAnsi="Calibri"/>
          <w:b w:val="false"/>
          <w:bCs w:val="false"/>
          <w:color w:val="00000A"/>
          <w:kern w:val="0"/>
          <w:sz w:val="22"/>
          <w:szCs w:val="22"/>
          <w:u w:val="none"/>
          <w:lang w:val="fr-FR" w:eastAsia="en-US" w:bidi="ar-SA"/>
        </w:rPr>
        <w:t>permet d’accroître</w:t>
      </w:r>
      <w:r>
        <w:rPr>
          <w:rFonts w:eastAsia="Times New Roman" w:cs="Calibri" w:ascii="Calibri" w:hAnsi="Calibri"/>
          <w:b w:val="false"/>
          <w:bCs w:val="false"/>
          <w:color w:val="00000A"/>
          <w:kern w:val="0"/>
          <w:sz w:val="22"/>
          <w:szCs w:val="22"/>
          <w:u w:val="none"/>
          <w:lang w:val="fr-FR" w:eastAsia="en-US" w:bidi="ar-SA"/>
        </w:rPr>
        <w:t xml:space="preserve"> l’engagement de l’Etat aux côtés des associations de lutte contre la pauvreté, </w:t>
      </w:r>
      <w:r>
        <w:rPr>
          <w:rFonts w:eastAsia="Times New Roman" w:cs="Calibri" w:ascii="Calibri" w:hAnsi="Calibri"/>
          <w:b w:val="false"/>
          <w:bCs w:val="false"/>
          <w:color w:val="00000A"/>
          <w:kern w:val="0"/>
          <w:sz w:val="22"/>
          <w:szCs w:val="22"/>
          <w:u w:val="none"/>
          <w:lang w:val="fr-FR" w:eastAsia="en-US" w:bidi="ar-SA"/>
        </w:rPr>
        <w:t xml:space="preserve">ainsi que </w:t>
      </w:r>
      <w:r>
        <w:rPr>
          <w:rFonts w:eastAsia="Times New Roman" w:cs="Calibri" w:ascii="Calibri" w:hAnsi="Calibri"/>
          <w:b w:val="false"/>
          <w:bCs w:val="false"/>
          <w:color w:val="00000A"/>
          <w:kern w:val="0"/>
          <w:sz w:val="22"/>
          <w:szCs w:val="22"/>
          <w:u w:val="none"/>
          <w:lang w:val="fr-FR" w:eastAsia="en-US" w:bidi="ar-SA"/>
        </w:rPr>
        <w:t>les projets  de développement des tiers-lieux dans les territoires en garantissant leur diversité et consolidant les projets existants : ainsi 4 dossiers sont retenus à ce jour parmi 19 déposés en Maine-et-Loire, dont celui relatif à l’accompagnement du projet de requalification et d’agrandissement des locaux Emmaüs à Saint-Jean-de-Lignères (180 K€)</w:t>
      </w:r>
    </w:p>
    <w:p>
      <w:pPr>
        <w:pStyle w:val="Contenudecadre"/>
        <w:pBdr>
          <w:top w:val="single" w:sz="2" w:space="1" w:color="000001"/>
          <w:left w:val="single" w:sz="2" w:space="1" w:color="000001"/>
          <w:bottom w:val="single" w:sz="2" w:space="1" w:color="000001"/>
          <w:right w:val="single" w:sz="2" w:space="1" w:color="000001"/>
        </w:pBdr>
        <w:overflowPunct w:val="true"/>
        <w:spacing w:lineRule="auto" w:line="240" w:before="0" w:after="0"/>
        <w:rPr>
          <w:b w:val="false"/>
          <w:b w:val="false"/>
          <w:bCs w:val="false"/>
        </w:rPr>
      </w:pPr>
      <w:r>
        <w:rPr>
          <w:b w:val="false"/>
          <w:bCs w:val="false"/>
        </w:rPr>
      </w:r>
    </w:p>
    <w:p>
      <w:pPr>
        <w:pStyle w:val="Contenudecadre"/>
        <w:widowControl w:val="false"/>
        <w:pBdr>
          <w:top w:val="single" w:sz="2" w:space="1" w:color="000001"/>
          <w:left w:val="single" w:sz="2" w:space="1" w:color="000001"/>
          <w:bottom w:val="single" w:sz="2" w:space="1" w:color="000001"/>
          <w:right w:val="single" w:sz="2" w:space="1" w:color="000001"/>
        </w:pBdr>
        <w:tabs>
          <w:tab w:val="left" w:pos="1418" w:leader="none"/>
        </w:tabs>
        <w:suppressAutoHyphens w:val="true"/>
        <w:spacing w:lineRule="auto" w:line="240" w:before="0" w:after="0"/>
        <w:jc w:val="both"/>
        <w:textAlignment w:val="baseline"/>
        <w:rPr/>
      </w:pPr>
      <w:r>
        <w:rPr>
          <w:rFonts w:eastAsia="Times New Roman" w:cs="Calibri"/>
          <w:b w:val="false"/>
          <w:bCs w:val="false"/>
          <w:color w:val="00000A"/>
          <w:kern w:val="0"/>
          <w:sz w:val="22"/>
          <w:szCs w:val="22"/>
          <w:lang w:val="fr-FR" w:eastAsia="en-US" w:bidi="ar-SA"/>
        </w:rPr>
        <w:t xml:space="preserve">Concernant l’emploi des jeunes, il est à noter une grande complémentarité des offres de service entre les prescripteurs : une action conjointe par mois de #tous mobilisés, orientée recrutement, découverte de métiers et formation sur les secteurs en tension est menée au sein des agences </w:t>
      </w:r>
      <w:r>
        <w:rPr>
          <w:rFonts w:eastAsia="Times New Roman" w:cs="Calibri"/>
          <w:b w:val="false"/>
          <w:bCs w:val="false"/>
          <w:color w:val="00000A"/>
          <w:kern w:val="0"/>
          <w:sz w:val="22"/>
          <w:szCs w:val="22"/>
          <w:lang w:val="fr-FR" w:eastAsia="en-US" w:bidi="ar-SA"/>
        </w:rPr>
        <w:t>Pôle</w:t>
      </w:r>
      <w:r>
        <w:rPr>
          <w:rFonts w:eastAsia="Times New Roman" w:cs="Calibri"/>
          <w:b w:val="false"/>
          <w:bCs w:val="false"/>
          <w:color w:val="00000A"/>
          <w:kern w:val="0"/>
          <w:sz w:val="22"/>
          <w:szCs w:val="22"/>
          <w:lang w:val="fr-FR" w:eastAsia="en-US" w:bidi="ar-SA"/>
        </w:rPr>
        <w:t xml:space="preserve"> emploi et d’entreprises partenaires. En outre, une réunion départementale est organisée tous les mois entre tous les prescripteurs sous l’égide de la DDETS pour partager les résultats et réorienter les actions en vue d’atteindre les objectifs.</w:t>
      </w:r>
    </w:p>
    <w:p>
      <w:pPr>
        <w:pStyle w:val="Contenudecadre"/>
        <w:widowControl w:val="false"/>
        <w:pBdr>
          <w:top w:val="single" w:sz="2" w:space="1" w:color="000001"/>
          <w:left w:val="single" w:sz="2" w:space="1" w:color="000001"/>
          <w:bottom w:val="single" w:sz="2" w:space="1" w:color="000001"/>
          <w:right w:val="single" w:sz="2" w:space="1" w:color="000001"/>
        </w:pBdr>
        <w:tabs>
          <w:tab w:val="left" w:pos="1418" w:leader="none"/>
        </w:tabs>
        <w:suppressAutoHyphens w:val="true"/>
        <w:overflowPunct w:val="true"/>
        <w:spacing w:lineRule="auto" w:line="240" w:before="0" w:after="0"/>
        <w:jc w:val="both"/>
        <w:textAlignment w:val="baseline"/>
        <w:rPr>
          <w:rFonts w:ascii="Calibri" w:hAnsi="Calibri" w:eastAsia="Times New Roman" w:cs="Calibri"/>
          <w:b w:val="false"/>
          <w:b w:val="false"/>
          <w:bCs w:val="false"/>
          <w:color w:val="00000A"/>
          <w:kern w:val="0"/>
          <w:sz w:val="22"/>
          <w:szCs w:val="22"/>
          <w:lang w:val="fr-FR" w:eastAsia="en-US" w:bidi="ar-SA"/>
        </w:rPr>
      </w:pPr>
      <w:r>
        <w:rPr>
          <w:rFonts w:eastAsia="Times New Roman" w:cs="Calibri"/>
          <w:b w:val="false"/>
          <w:bCs w:val="false"/>
          <w:color w:val="00000A"/>
          <w:kern w:val="0"/>
          <w:sz w:val="22"/>
          <w:szCs w:val="22"/>
          <w:lang w:val="fr-FR" w:eastAsia="en-US" w:bidi="ar-SA"/>
        </w:rPr>
      </w:r>
    </w:p>
    <w:p>
      <w:pPr>
        <w:pStyle w:val="Contenudecadre"/>
        <w:widowControl w:val="false"/>
        <w:pBdr>
          <w:top w:val="single" w:sz="2" w:space="1" w:color="000001"/>
          <w:left w:val="single" w:sz="2" w:space="1" w:color="000001"/>
          <w:bottom w:val="single" w:sz="2" w:space="1" w:color="000001"/>
          <w:right w:val="single" w:sz="2" w:space="1" w:color="000001"/>
        </w:pBdr>
        <w:tabs>
          <w:tab w:val="left" w:pos="1418" w:leader="none"/>
        </w:tabs>
        <w:suppressAutoHyphens w:val="true"/>
        <w:overflowPunct w:val="true"/>
        <w:spacing w:lineRule="auto" w:line="240" w:before="0" w:after="0"/>
        <w:jc w:val="both"/>
        <w:textAlignment w:val="baseline"/>
        <w:rPr>
          <w:rFonts w:ascii="Calibri" w:hAnsi="Calibri" w:eastAsia="Times New Roman" w:cs="Calibri"/>
          <w:b w:val="false"/>
          <w:b w:val="false"/>
          <w:bCs w:val="false"/>
          <w:color w:val="00000A"/>
          <w:kern w:val="0"/>
          <w:sz w:val="22"/>
          <w:szCs w:val="22"/>
          <w:lang w:val="fr-FR" w:eastAsia="en-US" w:bidi="ar-SA"/>
        </w:rPr>
      </w:pPr>
      <w:r>
        <w:rPr>
          <w:rFonts w:eastAsia="Times New Roman" w:cs="Calibri"/>
          <w:b w:val="false"/>
          <w:bCs w:val="false"/>
          <w:color w:val="00000A"/>
          <w:kern w:val="0"/>
          <w:sz w:val="22"/>
          <w:szCs w:val="22"/>
          <w:lang w:val="fr-FR" w:eastAsia="en-US" w:bidi="ar-SA"/>
        </w:rPr>
      </w:r>
    </w:p>
    <w:p>
      <w:pPr>
        <w:pStyle w:val="Contenudecadre"/>
        <w:widowControl w:val="false"/>
        <w:pBdr>
          <w:top w:val="single" w:sz="2" w:space="1" w:color="000001"/>
          <w:left w:val="single" w:sz="2" w:space="1" w:color="000001"/>
          <w:bottom w:val="single" w:sz="2" w:space="1" w:color="000001"/>
          <w:right w:val="single" w:sz="2" w:space="1" w:color="000001"/>
        </w:pBdr>
        <w:tabs>
          <w:tab w:val="left" w:pos="1418" w:leader="none"/>
        </w:tabs>
        <w:suppressAutoHyphens w:val="true"/>
        <w:overflowPunct w:val="true"/>
        <w:spacing w:lineRule="auto" w:line="240" w:before="0" w:after="0"/>
        <w:jc w:val="both"/>
        <w:textAlignment w:val="baseline"/>
        <w:rPr>
          <w:rFonts w:ascii="Calibri" w:hAnsi="Calibri" w:eastAsia="Times New Roman" w:cs="Calibri"/>
          <w:b w:val="false"/>
          <w:b w:val="false"/>
          <w:bCs w:val="false"/>
          <w:color w:val="00000A"/>
          <w:kern w:val="0"/>
          <w:sz w:val="22"/>
          <w:szCs w:val="22"/>
          <w:lang w:val="fr-FR" w:eastAsia="en-US" w:bidi="ar-SA"/>
        </w:rPr>
      </w:pPr>
      <w:r>
        <w:rPr>
          <w:rFonts w:eastAsia="Times New Roman" w:cs="Calibri"/>
          <w:b w:val="false"/>
          <w:bCs w:val="false"/>
          <w:color w:val="00000A"/>
          <w:kern w:val="0"/>
          <w:sz w:val="22"/>
          <w:szCs w:val="22"/>
          <w:lang w:val="fr-FR" w:eastAsia="en-US" w:bidi="ar-SA"/>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5777</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bookmarkEnd w:id="12"/>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27283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25536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20422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5777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5452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4316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6620" cy="2427605"/>
                <wp:effectExtent l="0" t="0" r="0" b="0"/>
                <wp:wrapNone/>
                <wp:docPr id="70"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50785" cy="139065"/>
                <wp:effectExtent l="0" t="0" r="0" b="0"/>
                <wp:wrapNone/>
                <wp:docPr id="7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6620" cy="2653665"/>
                <wp:effectExtent l="0" t="0" r="0" b="0"/>
                <wp:wrapNone/>
                <wp:docPr id="7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Fonts w:eastAsia="Calibri" w:eastAsiaTheme="minorHAnsi"/>
                                <w:b w:val="false"/>
                                <w:bCs w:val="false"/>
                                <w:color w:val="000000"/>
                              </w:rPr>
                              <w:t>Bon démarrage des contrats d’apprentissage en Maine et Loire.</w:t>
                            </w:r>
                          </w:p>
                          <w:p>
                            <w:pPr>
                              <w:pStyle w:val="Contenudecadre"/>
                              <w:overflowPunct w:val="true"/>
                              <w:spacing w:lineRule="auto" w:line="240" w:before="0" w:after="0"/>
                              <w:rPr>
                                <w:rFonts w:ascii="Calibri" w:hAnsi="Calibri" w:eastAsia="Calibri" w:asciiTheme="minorHAnsi" w:eastAsiaTheme="minorHAnsi" w:hAnsiTheme="minorHAnsi"/>
                                <w:b w:val="false"/>
                                <w:b w:val="false"/>
                                <w:bCs w:val="false"/>
                                <w:color w:val="000000"/>
                              </w:rPr>
                            </w:pPr>
                            <w:r>
                              <w:rPr>
                                <w:rFonts w:eastAsia="Calibri" w:eastAsiaTheme="minorHAnsi"/>
                                <w:b w:val="false"/>
                                <w:bCs w:val="false"/>
                                <w:color w:val="000000"/>
                              </w:rPr>
                            </w:r>
                          </w:p>
                          <w:p>
                            <w:pPr>
                              <w:pStyle w:val="Contenudecadre"/>
                              <w:overflowPunct w:val="true"/>
                              <w:spacing w:lineRule="auto" w:line="240" w:before="0" w:after="0"/>
                              <w:rPr/>
                            </w:pPr>
                            <w:r>
                              <w:rPr>
                                <w:rFonts w:eastAsia="Calibri" w:cs="" w:cstheme="minorBidi" w:eastAsiaTheme="minorHAnsi"/>
                                <w:b w:val="false"/>
                                <w:bCs w:val="false"/>
                                <w:color w:val="000000"/>
                              </w:rPr>
                              <w:t xml:space="preserve">Cela s’explique par une campagne de promotion importante notamment avec le Plan 1 jeune, 1 solution, </w:t>
                            </w:r>
                            <w:r>
                              <w:rPr>
                                <w:rFonts w:eastAsia="Calibri" w:cs="" w:cstheme="minorBidi" w:eastAsiaTheme="minorHAnsi"/>
                                <w:b w:val="false"/>
                                <w:bCs w:val="false"/>
                                <w:color w:val="000000"/>
                              </w:rPr>
                              <w:t xml:space="preserve">ainsi que </w:t>
                            </w:r>
                            <w:r>
                              <w:rPr>
                                <w:rFonts w:eastAsia="Calibri" w:cs="" w:cstheme="minorBidi" w:eastAsiaTheme="minorHAnsi"/>
                                <w:b w:val="false"/>
                                <w:bCs w:val="false"/>
                                <w:color w:val="000000"/>
                              </w:rPr>
                              <w:t>le  dispositif prépa apprentissage mis en place pour préparer les jeunes en décrochage scolaire à une entrée en apprentissage.</w:t>
                            </w:r>
                          </w:p>
                          <w:p>
                            <w:pPr>
                              <w:pStyle w:val="Contenudecadre"/>
                              <w:overflowPunct w:val="true"/>
                              <w:spacing w:lineRule="auto" w:line="240" w:before="0" w:after="0"/>
                              <w:rPr>
                                <w:rFonts w:ascii="Calibri" w:hAnsi="Calibri" w:eastAsia="Calibri" w:asciiTheme="minorHAnsi" w:eastAsiaTheme="minorHAnsi" w:hAnsiTheme="minorHAnsi"/>
                              </w:rPr>
                            </w:pPr>
                            <w:r>
                              <w:rPr>
                                <w:rFonts w:eastAsia="Calibri" w:eastAsiaTheme="minorHAnsi"/>
                              </w:rPr>
                            </w:r>
                          </w:p>
                          <w:p>
                            <w:pPr>
                              <w:pStyle w:val="Contenudecadre"/>
                              <w:overflowPunct w:val="true"/>
                              <w:spacing w:lineRule="auto" w:line="240" w:before="0" w:after="0"/>
                              <w:rPr/>
                            </w:pPr>
                            <w:r>
                              <w:rPr>
                                <w:rFonts w:eastAsia="Calibri" w:cs="" w:cstheme="minorBidi" w:eastAsiaTheme="minorHAnsi"/>
                                <w:b w:val="false"/>
                                <w:bCs w:val="false"/>
                                <w:color w:val="000000"/>
                              </w:rPr>
                              <w:t xml:space="preserve">Pour </w:t>
                            </w:r>
                            <w:r>
                              <w:rPr>
                                <w:rFonts w:eastAsia="Calibri" w:cs="" w:cstheme="minorBidi" w:eastAsiaTheme="minorHAnsi"/>
                                <w:b w:val="false"/>
                                <w:bCs w:val="false"/>
                                <w:color w:val="000000"/>
                              </w:rPr>
                              <w:t>Pôle Emploi</w:t>
                            </w:r>
                            <w:r>
                              <w:rPr>
                                <w:rFonts w:eastAsia="Calibri" w:cs="" w:cstheme="minorBidi" w:eastAsiaTheme="minorHAnsi"/>
                                <w:b w:val="false"/>
                                <w:bCs w:val="false"/>
                                <w:color w:val="000000"/>
                              </w:rPr>
                              <w:t> : des offres en apprentissage en augmentation, tous secteurs, tous niveaux. Une bonne dynamique partenariale avec les CFA  notamment sur des sections potentiellement moins attractive</w:t>
                            </w:r>
                            <w:r>
                              <w:rPr>
                                <w:rFonts w:eastAsia="Calibri" w:cs="" w:cstheme="minorBidi" w:eastAsiaTheme="minorHAnsi"/>
                                <w:b w:val="false"/>
                                <w:bCs w:val="false"/>
                                <w:color w:val="000000"/>
                              </w:rPr>
                              <w:t>s</w:t>
                            </w:r>
                            <w:r>
                              <w:rPr>
                                <w:rFonts w:eastAsia="Calibri" w:cs="" w:cstheme="minorBidi" w:eastAsiaTheme="minorHAnsi"/>
                                <w:b w:val="false"/>
                                <w:bCs w:val="false"/>
                                <w:color w:val="000000"/>
                              </w:rPr>
                              <w:t xml:space="preserve"> pour les jeunes.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Fonts w:eastAsia="Calibri" w:eastAsiaTheme="minorHAnsi"/>
                          <w:b w:val="false"/>
                          <w:bCs w:val="false"/>
                          <w:color w:val="000000"/>
                        </w:rPr>
                        <w:t>Bon démarrage des contrats d’apprentissage en Maine et Loire.</w:t>
                      </w:r>
                    </w:p>
                    <w:p>
                      <w:pPr>
                        <w:pStyle w:val="Contenudecadre"/>
                        <w:overflowPunct w:val="true"/>
                        <w:spacing w:lineRule="auto" w:line="240" w:before="0" w:after="0"/>
                        <w:rPr>
                          <w:rFonts w:ascii="Calibri" w:hAnsi="Calibri" w:eastAsia="Calibri" w:asciiTheme="minorHAnsi" w:eastAsiaTheme="minorHAnsi" w:hAnsiTheme="minorHAnsi"/>
                          <w:b w:val="false"/>
                          <w:b w:val="false"/>
                          <w:bCs w:val="false"/>
                          <w:color w:val="000000"/>
                        </w:rPr>
                      </w:pPr>
                      <w:r>
                        <w:rPr>
                          <w:rFonts w:eastAsia="Calibri" w:eastAsiaTheme="minorHAnsi"/>
                          <w:b w:val="false"/>
                          <w:bCs w:val="false"/>
                          <w:color w:val="000000"/>
                        </w:rPr>
                      </w:r>
                    </w:p>
                    <w:p>
                      <w:pPr>
                        <w:pStyle w:val="Contenudecadre"/>
                        <w:overflowPunct w:val="true"/>
                        <w:spacing w:lineRule="auto" w:line="240" w:before="0" w:after="0"/>
                        <w:rPr/>
                      </w:pPr>
                      <w:r>
                        <w:rPr>
                          <w:rFonts w:eastAsia="Calibri" w:cs="" w:cstheme="minorBidi" w:eastAsiaTheme="minorHAnsi"/>
                          <w:b w:val="false"/>
                          <w:bCs w:val="false"/>
                          <w:color w:val="000000"/>
                        </w:rPr>
                        <w:t xml:space="preserve">Cela s’explique par une campagne de promotion importante notamment avec le Plan 1 jeune, 1 solution, </w:t>
                      </w:r>
                      <w:r>
                        <w:rPr>
                          <w:rFonts w:eastAsia="Calibri" w:cs="" w:cstheme="minorBidi" w:eastAsiaTheme="minorHAnsi"/>
                          <w:b w:val="false"/>
                          <w:bCs w:val="false"/>
                          <w:color w:val="000000"/>
                        </w:rPr>
                        <w:t xml:space="preserve">ainsi que </w:t>
                      </w:r>
                      <w:r>
                        <w:rPr>
                          <w:rFonts w:eastAsia="Calibri" w:cs="" w:cstheme="minorBidi" w:eastAsiaTheme="minorHAnsi"/>
                          <w:b w:val="false"/>
                          <w:bCs w:val="false"/>
                          <w:color w:val="000000"/>
                        </w:rPr>
                        <w:t>le  dispositif prépa apprentissage mis en place pour préparer les jeunes en décrochage scolaire à une entrée en apprentissage.</w:t>
                      </w:r>
                    </w:p>
                    <w:p>
                      <w:pPr>
                        <w:pStyle w:val="Contenudecadre"/>
                        <w:overflowPunct w:val="true"/>
                        <w:spacing w:lineRule="auto" w:line="240" w:before="0" w:after="0"/>
                        <w:rPr>
                          <w:rFonts w:ascii="Calibri" w:hAnsi="Calibri" w:eastAsia="Calibri" w:asciiTheme="minorHAnsi" w:eastAsiaTheme="minorHAnsi" w:hAnsiTheme="minorHAnsi"/>
                        </w:rPr>
                      </w:pPr>
                      <w:r>
                        <w:rPr>
                          <w:rFonts w:eastAsia="Calibri" w:eastAsiaTheme="minorHAnsi"/>
                        </w:rPr>
                      </w:r>
                    </w:p>
                    <w:p>
                      <w:pPr>
                        <w:pStyle w:val="Contenudecadre"/>
                        <w:overflowPunct w:val="true"/>
                        <w:spacing w:lineRule="auto" w:line="240" w:before="0" w:after="0"/>
                        <w:rPr/>
                      </w:pPr>
                      <w:r>
                        <w:rPr>
                          <w:rFonts w:eastAsia="Calibri" w:cs="" w:cstheme="minorBidi" w:eastAsiaTheme="minorHAnsi"/>
                          <w:b w:val="false"/>
                          <w:bCs w:val="false"/>
                          <w:color w:val="000000"/>
                        </w:rPr>
                        <w:t xml:space="preserve">Pour </w:t>
                      </w:r>
                      <w:r>
                        <w:rPr>
                          <w:rFonts w:eastAsia="Calibri" w:cs="" w:cstheme="minorBidi" w:eastAsiaTheme="minorHAnsi"/>
                          <w:b w:val="false"/>
                          <w:bCs w:val="false"/>
                          <w:color w:val="000000"/>
                        </w:rPr>
                        <w:t>Pôle Emploi</w:t>
                      </w:r>
                      <w:r>
                        <w:rPr>
                          <w:rFonts w:eastAsia="Calibri" w:cs="" w:cstheme="minorBidi" w:eastAsiaTheme="minorHAnsi"/>
                          <w:b w:val="false"/>
                          <w:bCs w:val="false"/>
                          <w:color w:val="000000"/>
                        </w:rPr>
                        <w:t> : des offres en apprentissage en augmentation, tous secteurs, tous niveaux. Une bonne dynamique partenariale avec les CFA  notamment sur des sections potentiellement moins attractive</w:t>
                      </w:r>
                      <w:r>
                        <w:rPr>
                          <w:rFonts w:eastAsia="Calibri" w:cs="" w:cstheme="minorBidi" w:eastAsiaTheme="minorHAnsi"/>
                          <w:b w:val="false"/>
                          <w:bCs w:val="false"/>
                          <w:color w:val="000000"/>
                        </w:rPr>
                        <w:t>s</w:t>
                      </w:r>
                      <w:r>
                        <w:rPr>
                          <w:rFonts w:eastAsia="Calibri" w:cs="" w:cstheme="minorBidi" w:eastAsiaTheme="minorHAnsi"/>
                          <w:b w:val="false"/>
                          <w:bCs w:val="false"/>
                          <w:color w:val="000000"/>
                        </w:rPr>
                        <w:t xml:space="preserve"> pour les jeunes.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4103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bookmarkEnd w:id="13"/>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20887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16476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7838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3310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1626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6620" cy="2427605"/>
                <wp:effectExtent l="0" t="0" r="0" b="0"/>
                <wp:wrapNone/>
                <wp:docPr id="75"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50785" cy="139065"/>
                <wp:effectExtent l="0" t="0" r="0" b="0"/>
                <wp:wrapNone/>
                <wp:docPr id="7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6620" cy="2653665"/>
                <wp:effectExtent l="0" t="0" r="0" b="0"/>
                <wp:wrapNone/>
                <wp:docPr id="78"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105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bookmarkEnd w:id="14"/>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681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6620" cy="2427605"/>
                <wp:effectExtent l="0" t="0" r="0" b="0"/>
                <wp:wrapNone/>
                <wp:docPr id="80"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50785" cy="139065"/>
                <wp:effectExtent l="0" t="0" r="0" b="0"/>
                <wp:wrapNone/>
                <wp:docPr id="8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6620" cy="2653665"/>
                <wp:effectExtent l="0" t="0" r="0" b="0"/>
                <wp:wrapNone/>
                <wp:docPr id="8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spacing w:lineRule="auto" w:line="240" w:beforeAutospacing="1" w:afterAutospacing="1"/>
                              <w:rPr/>
                            </w:pPr>
                            <w:r>
                              <w:rPr>
                                <w:rFonts w:eastAsia="Times New Roman" w:cs="Calibri"/>
                                <w:b w:val="false"/>
                                <w:bCs w:val="false"/>
                                <w:color w:val="00000A"/>
                                <w:u w:val="none"/>
                              </w:rPr>
                              <w:t>La p</w:t>
                            </w:r>
                            <w:r>
                              <w:rPr>
                                <w:rFonts w:eastAsia="Times New Roman" w:cs="Calibri"/>
                                <w:b w:val="false"/>
                                <w:bCs w:val="false"/>
                                <w:color w:val="00000A"/>
                                <w:u w:val="none"/>
                              </w:rPr>
                              <w:t xml:space="preserve">romotion </w:t>
                            </w:r>
                            <w:r>
                              <w:rPr>
                                <w:rFonts w:eastAsia="Times New Roman" w:cs="Calibri"/>
                                <w:b w:val="false"/>
                                <w:bCs w:val="false"/>
                                <w:color w:val="00000A"/>
                                <w:u w:val="none"/>
                              </w:rPr>
                              <w:t xml:space="preserve">de cette aide mobilisable pour le recrutement minimum CDD 3 mois dans le secteur privé et associatif d’une personne en situation de handicap, quel que soit son âge, </w:t>
                            </w:r>
                            <w:r>
                              <w:rPr>
                                <w:rFonts w:eastAsia="Times New Roman" w:cs="Calibri"/>
                                <w:b w:val="false"/>
                                <w:bCs w:val="false"/>
                                <w:color w:val="00000A"/>
                                <w:u w:val="none"/>
                              </w:rPr>
                              <w:t xml:space="preserve">est assurée </w:t>
                            </w:r>
                            <w:r>
                              <w:rPr>
                                <w:rFonts w:eastAsia="Times New Roman" w:cs="Calibri"/>
                                <w:b w:val="false"/>
                                <w:bCs w:val="false"/>
                                <w:color w:val="00000A"/>
                                <w:u w:val="none"/>
                              </w:rPr>
                              <w:t>par les services de CAP Emploi.</w:t>
                            </w:r>
                          </w:p>
                          <w:p>
                            <w:pPr>
                              <w:pStyle w:val="Contenudecadre"/>
                              <w:overflowPunct w:val="true"/>
                              <w:spacing w:lineRule="auto" w:line="240" w:beforeAutospacing="1" w:afterAutospacing="1"/>
                              <w:rPr>
                                <w:rFonts w:eastAsia="Times New Roman" w:cs="Calibri"/>
                              </w:rPr>
                            </w:pPr>
                            <w:r>
                              <w:rPr>
                                <w:rFonts w:eastAsia="Times New Roman" w:cs="Calibri"/>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spacing w:lineRule="auto" w:line="240" w:beforeAutospacing="1" w:afterAutospacing="1"/>
                        <w:rPr/>
                      </w:pPr>
                      <w:r>
                        <w:rPr>
                          <w:rFonts w:eastAsia="Times New Roman" w:cs="Calibri"/>
                          <w:b w:val="false"/>
                          <w:bCs w:val="false"/>
                          <w:color w:val="00000A"/>
                          <w:u w:val="none"/>
                        </w:rPr>
                        <w:t>La p</w:t>
                      </w:r>
                      <w:r>
                        <w:rPr>
                          <w:rFonts w:eastAsia="Times New Roman" w:cs="Calibri"/>
                          <w:b w:val="false"/>
                          <w:bCs w:val="false"/>
                          <w:color w:val="00000A"/>
                          <w:u w:val="none"/>
                        </w:rPr>
                        <w:t xml:space="preserve">romotion </w:t>
                      </w:r>
                      <w:r>
                        <w:rPr>
                          <w:rFonts w:eastAsia="Times New Roman" w:cs="Calibri"/>
                          <w:b w:val="false"/>
                          <w:bCs w:val="false"/>
                          <w:color w:val="00000A"/>
                          <w:u w:val="none"/>
                        </w:rPr>
                        <w:t xml:space="preserve">de cette aide mobilisable pour le recrutement minimum CDD 3 mois dans le secteur privé et associatif d’une personne en situation de handicap, quel que soit son âge, </w:t>
                      </w:r>
                      <w:r>
                        <w:rPr>
                          <w:rFonts w:eastAsia="Times New Roman" w:cs="Calibri"/>
                          <w:b w:val="false"/>
                          <w:bCs w:val="false"/>
                          <w:color w:val="00000A"/>
                          <w:u w:val="none"/>
                        </w:rPr>
                        <w:t xml:space="preserve">est assurée </w:t>
                      </w:r>
                      <w:r>
                        <w:rPr>
                          <w:rFonts w:eastAsia="Times New Roman" w:cs="Calibri"/>
                          <w:b w:val="false"/>
                          <w:bCs w:val="false"/>
                          <w:color w:val="00000A"/>
                          <w:u w:val="none"/>
                        </w:rPr>
                        <w:t>par les services de CAP Emploi.</w:t>
                      </w:r>
                    </w:p>
                    <w:p>
                      <w:pPr>
                        <w:pStyle w:val="Contenudecadre"/>
                        <w:overflowPunct w:val="true"/>
                        <w:spacing w:lineRule="auto" w:line="240" w:beforeAutospacing="1" w:afterAutospacing="1"/>
                        <w:rPr>
                          <w:rFonts w:eastAsia="Times New Roman" w:cs="Calibri"/>
                        </w:rPr>
                      </w:pPr>
                      <w:r>
                        <w:rPr>
                          <w:rFonts w:eastAsia="Times New Roman" w:cs="Calibri"/>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177</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bookmarkEnd w:id="15"/>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832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253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177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6620" cy="2427605"/>
                <wp:effectExtent l="0" t="0" r="0" b="0"/>
                <wp:wrapNone/>
                <wp:docPr id="85"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50785" cy="139065"/>
                <wp:effectExtent l="0" t="0" r="0" b="0"/>
                <wp:wrapNone/>
                <wp:docPr id="8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6620" cy="2653665"/>
                <wp:effectExtent l="0" t="0" r="0" b="0"/>
                <wp:wrapNone/>
                <wp:docPr id="88"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eastAsia="Calibri" w:cs="" w:cstheme="minorBidi" w:eastAsiaTheme="minorHAnsi"/>
                                <w:color w:val="00000A"/>
                              </w:rPr>
                            </w:pPr>
                            <w:r>
                              <w:rPr>
                                <w:rFonts w:eastAsia="Calibri" w:cs="" w:cstheme="minorBidi" w:eastAsiaTheme="minorHAnsi"/>
                                <w:color w:val="00000A"/>
                              </w:rPr>
                            </w:r>
                          </w:p>
                          <w:p>
                            <w:pPr>
                              <w:pStyle w:val="Contenudecadre"/>
                              <w:overflowPunct w:val="true"/>
                              <w:spacing w:lineRule="auto" w:line="240" w:before="0" w:after="0"/>
                              <w:rPr>
                                <w:b w:val="false"/>
                                <w:b w:val="false"/>
                                <w:bCs w:val="false"/>
                                <w:color w:val="000000"/>
                                <w:sz w:val="22"/>
                                <w:szCs w:val="22"/>
                              </w:rPr>
                            </w:pPr>
                            <w:r>
                              <w:rPr>
                                <w:rFonts w:eastAsia="Calibri" w:eastAsiaTheme="minorHAnsi"/>
                                <w:b w:val="false"/>
                                <w:bCs w:val="false"/>
                                <w:color w:val="000000"/>
                                <w:sz w:val="22"/>
                                <w:szCs w:val="22"/>
                              </w:rPr>
                              <w:t>Taux de réalisation au 24/04/2021 en Maine et Loire : 27,16%  contre 24,06 en France .</w:t>
                            </w:r>
                          </w:p>
                          <w:p>
                            <w:pPr>
                              <w:pStyle w:val="Contenudecadre"/>
                              <w:overflowPunct w:val="true"/>
                              <w:spacing w:lineRule="auto" w:line="240" w:before="0" w:after="0"/>
                              <w:rPr>
                                <w:rFonts w:ascii="Calibri" w:hAnsi="Calibri" w:eastAsia="Calibri" w:asciiTheme="minorHAnsi" w:eastAsiaTheme="minorHAnsi" w:hAnsiTheme="minorHAnsi"/>
                                <w:b w:val="false"/>
                                <w:b w:val="false"/>
                                <w:bCs w:val="false"/>
                                <w:color w:val="000000"/>
                                <w:sz w:val="22"/>
                                <w:szCs w:val="22"/>
                              </w:rPr>
                            </w:pPr>
                            <w:r>
                              <w:rPr>
                                <w:rFonts w:eastAsia="Calibri" w:eastAsiaTheme="minorHAnsi"/>
                                <w:b w:val="false"/>
                                <w:bCs w:val="false"/>
                                <w:color w:val="000000"/>
                                <w:sz w:val="22"/>
                                <w:szCs w:val="22"/>
                              </w:rPr>
                            </w:r>
                          </w:p>
                          <w:p>
                            <w:pPr>
                              <w:pStyle w:val="Contenudecadre"/>
                              <w:overflowPunct w:val="true"/>
                              <w:spacing w:lineRule="auto" w:line="240" w:before="0" w:after="0"/>
                              <w:rPr/>
                            </w:pPr>
                            <w:r>
                              <w:rPr>
                                <w:rFonts w:eastAsia="Calibri" w:cs="" w:cstheme="minorBidi" w:eastAsiaTheme="minorHAnsi"/>
                                <w:b w:val="false"/>
                                <w:bCs w:val="false"/>
                                <w:color w:val="000000"/>
                                <w:sz w:val="22"/>
                                <w:szCs w:val="22"/>
                              </w:rPr>
                              <w:t>On constate une bonne i</w:t>
                            </w:r>
                            <w:r>
                              <w:rPr>
                                <w:rFonts w:eastAsia="Calibri" w:cs="" w:cstheme="minorBidi" w:eastAsiaTheme="minorHAnsi"/>
                                <w:b w:val="false"/>
                                <w:bCs w:val="false"/>
                                <w:color w:val="000000"/>
                                <w:sz w:val="22"/>
                                <w:szCs w:val="22"/>
                              </w:rPr>
                              <w:t xml:space="preserve">mplication des membres du Service Public de l’Emploi  en tant que prescripteurs. </w:t>
                            </w:r>
                            <w:r>
                              <w:rPr>
                                <w:rFonts w:eastAsia="Calibri" w:cs="" w:cstheme="minorBidi" w:eastAsiaTheme="minorHAnsi"/>
                                <w:b w:val="false"/>
                                <w:bCs w:val="false"/>
                                <w:color w:val="000000"/>
                                <w:sz w:val="22"/>
                                <w:szCs w:val="22"/>
                              </w:rPr>
                              <w:t xml:space="preserve">Un </w:t>
                            </w:r>
                            <w:r>
                              <w:rPr>
                                <w:rFonts w:eastAsia="Calibri" w:cs="" w:cstheme="minorBidi" w:eastAsiaTheme="minorHAnsi"/>
                                <w:b w:val="false"/>
                                <w:bCs w:val="false"/>
                                <w:color w:val="000000"/>
                                <w:sz w:val="22"/>
                                <w:szCs w:val="22"/>
                              </w:rPr>
                              <w:t xml:space="preserve">courrier du Préfet de Région  </w:t>
                            </w:r>
                            <w:r>
                              <w:rPr>
                                <w:rFonts w:eastAsia="Calibri" w:cs="" w:cstheme="minorBidi" w:eastAsiaTheme="minorHAnsi"/>
                                <w:b w:val="false"/>
                                <w:bCs w:val="false"/>
                                <w:color w:val="000000"/>
                                <w:sz w:val="22"/>
                                <w:szCs w:val="22"/>
                              </w:rPr>
                              <w:t>a été envoyé</w:t>
                            </w:r>
                            <w:r>
                              <w:rPr>
                                <w:rFonts w:eastAsia="Calibri" w:cs="" w:cstheme="minorBidi" w:eastAsiaTheme="minorHAnsi"/>
                                <w:b w:val="false"/>
                                <w:bCs w:val="false"/>
                                <w:color w:val="000000"/>
                                <w:sz w:val="22"/>
                                <w:szCs w:val="22"/>
                              </w:rPr>
                              <w:t xml:space="preserve"> le 27 avril 2021 aux représentants employeurs au niveau régional : FNTR, MEDEF, CAPEB, UMIH, UIMM, FRTP …… </w:t>
                            </w:r>
                            <w:r>
                              <w:rPr>
                                <w:rFonts w:eastAsia="Calibri" w:cs="" w:cstheme="minorBidi" w:eastAsiaTheme="minorHAnsi"/>
                                <w:b w:val="false"/>
                                <w:bCs w:val="false"/>
                                <w:color w:val="000000"/>
                                <w:sz w:val="22"/>
                                <w:szCs w:val="22"/>
                              </w:rPr>
                              <w:t>pour assurer</w:t>
                            </w:r>
                            <w:r>
                              <w:rPr>
                                <w:rFonts w:eastAsia="Calibri" w:cs="" w:cstheme="minorBidi" w:eastAsiaTheme="minorHAnsi"/>
                                <w:b w:val="false"/>
                                <w:bCs w:val="false"/>
                                <w:color w:val="000000"/>
                                <w:sz w:val="22"/>
                                <w:szCs w:val="22"/>
                              </w:rPr>
                              <w:t xml:space="preserve"> la promotion de ce type de contrat.</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b w:val="false"/>
                                <w:bCs w:val="false"/>
                                <w:color w:val="00000A"/>
                                <w:sz w:val="22"/>
                                <w:szCs w:val="22"/>
                              </w:rPr>
                            </w:r>
                          </w:p>
                          <w:p>
                            <w:pPr>
                              <w:pStyle w:val="Contenudecadre"/>
                              <w:overflowPunct w:val="true"/>
                              <w:spacing w:lineRule="auto" w:line="240" w:before="0" w:after="0"/>
                              <w:rPr/>
                            </w:pPr>
                            <w:r>
                              <w:rPr>
                                <w:rFonts w:eastAsia="Calibri" w:eastAsiaTheme="minorHAnsi"/>
                                <w:b w:val="false"/>
                                <w:bCs w:val="false"/>
                                <w:color w:val="000000"/>
                                <w:sz w:val="22"/>
                                <w:szCs w:val="22"/>
                              </w:rPr>
                              <w:t>Mobilisation de ce contrat par P</w:t>
                            </w:r>
                            <w:r>
                              <w:rPr>
                                <w:rFonts w:eastAsia="Calibri" w:eastAsiaTheme="minorHAnsi"/>
                                <w:b w:val="false"/>
                                <w:bCs w:val="false"/>
                                <w:color w:val="000000"/>
                                <w:sz w:val="22"/>
                                <w:szCs w:val="22"/>
                              </w:rPr>
                              <w:t>ô</w:t>
                            </w:r>
                            <w:r>
                              <w:rPr>
                                <w:rFonts w:eastAsia="Calibri" w:eastAsiaTheme="minorHAnsi"/>
                                <w:b w:val="false"/>
                                <w:bCs w:val="false"/>
                                <w:color w:val="000000"/>
                                <w:sz w:val="22"/>
                                <w:szCs w:val="22"/>
                              </w:rPr>
                              <w:t xml:space="preserve">le emploi sur l’ensemble du territoire, qui permet d’accompagner l’emploi durable en investissant sur le développement de compétences : l’entreprise est directement partie prenante de cet engagement avec le jeune. </w:t>
                            </w:r>
                          </w:p>
                          <w:p>
                            <w:pPr>
                              <w:pStyle w:val="Contenudecadre"/>
                              <w:overflowPunct w:val="true"/>
                              <w:spacing w:lineRule="auto" w:line="240" w:before="0" w:after="0"/>
                              <w:rPr/>
                            </w:pPr>
                            <w:r>
                              <w:rPr>
                                <w:rFonts w:eastAsia="Calibri" w:cs="" w:cstheme="minorBidi" w:eastAsiaTheme="minorHAnsi"/>
                                <w:b w:val="false"/>
                                <w:bCs w:val="false"/>
                                <w:color w:val="000000"/>
                                <w:sz w:val="22"/>
                                <w:szCs w:val="22"/>
                              </w:rPr>
                              <w:t xml:space="preserve">La mesure est également un levier favorisant des contrats plus longs, en effet il permet aux conseillers de négocier des durées de contrat  d’au moins 6 mois.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eastAsia="Calibri" w:cs="" w:cstheme="minorBidi" w:eastAsiaTheme="minorHAnsi"/>
                          <w:color w:val="00000A"/>
                        </w:rPr>
                      </w:pPr>
                      <w:r>
                        <w:rPr>
                          <w:rFonts w:eastAsia="Calibri" w:cs="" w:cstheme="minorBidi" w:eastAsiaTheme="minorHAnsi"/>
                          <w:color w:val="00000A"/>
                        </w:rPr>
                      </w:r>
                    </w:p>
                    <w:p>
                      <w:pPr>
                        <w:pStyle w:val="Contenudecadre"/>
                        <w:overflowPunct w:val="true"/>
                        <w:spacing w:lineRule="auto" w:line="240" w:before="0" w:after="0"/>
                        <w:rPr>
                          <w:b w:val="false"/>
                          <w:b w:val="false"/>
                          <w:bCs w:val="false"/>
                          <w:color w:val="000000"/>
                          <w:sz w:val="22"/>
                          <w:szCs w:val="22"/>
                        </w:rPr>
                      </w:pPr>
                      <w:r>
                        <w:rPr>
                          <w:rFonts w:eastAsia="Calibri" w:eastAsiaTheme="minorHAnsi"/>
                          <w:b w:val="false"/>
                          <w:bCs w:val="false"/>
                          <w:color w:val="000000"/>
                          <w:sz w:val="22"/>
                          <w:szCs w:val="22"/>
                        </w:rPr>
                        <w:t>Taux de réalisation au 24/04/2021 en Maine et Loire : 27,16%  contre 24,06 en France .</w:t>
                      </w:r>
                    </w:p>
                    <w:p>
                      <w:pPr>
                        <w:pStyle w:val="Contenudecadre"/>
                        <w:overflowPunct w:val="true"/>
                        <w:spacing w:lineRule="auto" w:line="240" w:before="0" w:after="0"/>
                        <w:rPr>
                          <w:rFonts w:ascii="Calibri" w:hAnsi="Calibri" w:eastAsia="Calibri" w:asciiTheme="minorHAnsi" w:eastAsiaTheme="minorHAnsi" w:hAnsiTheme="minorHAnsi"/>
                          <w:b w:val="false"/>
                          <w:b w:val="false"/>
                          <w:bCs w:val="false"/>
                          <w:color w:val="000000"/>
                          <w:sz w:val="22"/>
                          <w:szCs w:val="22"/>
                        </w:rPr>
                      </w:pPr>
                      <w:r>
                        <w:rPr>
                          <w:rFonts w:eastAsia="Calibri" w:eastAsiaTheme="minorHAnsi"/>
                          <w:b w:val="false"/>
                          <w:bCs w:val="false"/>
                          <w:color w:val="000000"/>
                          <w:sz w:val="22"/>
                          <w:szCs w:val="22"/>
                        </w:rPr>
                      </w:r>
                    </w:p>
                    <w:p>
                      <w:pPr>
                        <w:pStyle w:val="Contenudecadre"/>
                        <w:overflowPunct w:val="true"/>
                        <w:spacing w:lineRule="auto" w:line="240" w:before="0" w:after="0"/>
                        <w:rPr/>
                      </w:pPr>
                      <w:r>
                        <w:rPr>
                          <w:rFonts w:eastAsia="Calibri" w:cs="" w:cstheme="minorBidi" w:eastAsiaTheme="minorHAnsi"/>
                          <w:b w:val="false"/>
                          <w:bCs w:val="false"/>
                          <w:color w:val="000000"/>
                          <w:sz w:val="22"/>
                          <w:szCs w:val="22"/>
                        </w:rPr>
                        <w:t>On constate une bonne i</w:t>
                      </w:r>
                      <w:r>
                        <w:rPr>
                          <w:rFonts w:eastAsia="Calibri" w:cs="" w:cstheme="minorBidi" w:eastAsiaTheme="minorHAnsi"/>
                          <w:b w:val="false"/>
                          <w:bCs w:val="false"/>
                          <w:color w:val="000000"/>
                          <w:sz w:val="22"/>
                          <w:szCs w:val="22"/>
                        </w:rPr>
                        <w:t xml:space="preserve">mplication des membres du Service Public de l’Emploi  en tant que prescripteurs. </w:t>
                      </w:r>
                      <w:r>
                        <w:rPr>
                          <w:rFonts w:eastAsia="Calibri" w:cs="" w:cstheme="minorBidi" w:eastAsiaTheme="minorHAnsi"/>
                          <w:b w:val="false"/>
                          <w:bCs w:val="false"/>
                          <w:color w:val="000000"/>
                          <w:sz w:val="22"/>
                          <w:szCs w:val="22"/>
                        </w:rPr>
                        <w:t xml:space="preserve">Un </w:t>
                      </w:r>
                      <w:r>
                        <w:rPr>
                          <w:rFonts w:eastAsia="Calibri" w:cs="" w:cstheme="minorBidi" w:eastAsiaTheme="minorHAnsi"/>
                          <w:b w:val="false"/>
                          <w:bCs w:val="false"/>
                          <w:color w:val="000000"/>
                          <w:sz w:val="22"/>
                          <w:szCs w:val="22"/>
                        </w:rPr>
                        <w:t xml:space="preserve">courrier du Préfet de Région  </w:t>
                      </w:r>
                      <w:r>
                        <w:rPr>
                          <w:rFonts w:eastAsia="Calibri" w:cs="" w:cstheme="minorBidi" w:eastAsiaTheme="minorHAnsi"/>
                          <w:b w:val="false"/>
                          <w:bCs w:val="false"/>
                          <w:color w:val="000000"/>
                          <w:sz w:val="22"/>
                          <w:szCs w:val="22"/>
                        </w:rPr>
                        <w:t>a été envoyé</w:t>
                      </w:r>
                      <w:r>
                        <w:rPr>
                          <w:rFonts w:eastAsia="Calibri" w:cs="" w:cstheme="minorBidi" w:eastAsiaTheme="minorHAnsi"/>
                          <w:b w:val="false"/>
                          <w:bCs w:val="false"/>
                          <w:color w:val="000000"/>
                          <w:sz w:val="22"/>
                          <w:szCs w:val="22"/>
                        </w:rPr>
                        <w:t xml:space="preserve"> le 27 avril 2021 aux représentants employeurs au niveau régional : FNTR, MEDEF, CAPEB, UMIH, UIMM, FRTP …… </w:t>
                      </w:r>
                      <w:r>
                        <w:rPr>
                          <w:rFonts w:eastAsia="Calibri" w:cs="" w:cstheme="minorBidi" w:eastAsiaTheme="minorHAnsi"/>
                          <w:b w:val="false"/>
                          <w:bCs w:val="false"/>
                          <w:color w:val="000000"/>
                          <w:sz w:val="22"/>
                          <w:szCs w:val="22"/>
                        </w:rPr>
                        <w:t>pour assurer</w:t>
                      </w:r>
                      <w:r>
                        <w:rPr>
                          <w:rFonts w:eastAsia="Calibri" w:cs="" w:cstheme="minorBidi" w:eastAsiaTheme="minorHAnsi"/>
                          <w:b w:val="false"/>
                          <w:bCs w:val="false"/>
                          <w:color w:val="000000"/>
                          <w:sz w:val="22"/>
                          <w:szCs w:val="22"/>
                        </w:rPr>
                        <w:t xml:space="preserve"> la promotion de ce type de contrat.</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sz w:val="22"/>
                          <w:szCs w:val="22"/>
                        </w:rPr>
                      </w:pPr>
                      <w:r>
                        <w:rPr>
                          <w:rFonts w:eastAsia="Calibri" w:cs="" w:cstheme="minorBidi" w:eastAsiaTheme="minorHAnsi"/>
                          <w:b w:val="false"/>
                          <w:bCs w:val="false"/>
                          <w:color w:val="00000A"/>
                          <w:sz w:val="22"/>
                          <w:szCs w:val="22"/>
                        </w:rPr>
                      </w:r>
                    </w:p>
                    <w:p>
                      <w:pPr>
                        <w:pStyle w:val="Contenudecadre"/>
                        <w:overflowPunct w:val="true"/>
                        <w:spacing w:lineRule="auto" w:line="240" w:before="0" w:after="0"/>
                        <w:rPr/>
                      </w:pPr>
                      <w:r>
                        <w:rPr>
                          <w:rFonts w:eastAsia="Calibri" w:eastAsiaTheme="minorHAnsi"/>
                          <w:b w:val="false"/>
                          <w:bCs w:val="false"/>
                          <w:color w:val="000000"/>
                          <w:sz w:val="22"/>
                          <w:szCs w:val="22"/>
                        </w:rPr>
                        <w:t>Mobilisation de ce contrat par P</w:t>
                      </w:r>
                      <w:r>
                        <w:rPr>
                          <w:rFonts w:eastAsia="Calibri" w:eastAsiaTheme="minorHAnsi"/>
                          <w:b w:val="false"/>
                          <w:bCs w:val="false"/>
                          <w:color w:val="000000"/>
                          <w:sz w:val="22"/>
                          <w:szCs w:val="22"/>
                        </w:rPr>
                        <w:t>ô</w:t>
                      </w:r>
                      <w:r>
                        <w:rPr>
                          <w:rFonts w:eastAsia="Calibri" w:eastAsiaTheme="minorHAnsi"/>
                          <w:b w:val="false"/>
                          <w:bCs w:val="false"/>
                          <w:color w:val="000000"/>
                          <w:sz w:val="22"/>
                          <w:szCs w:val="22"/>
                        </w:rPr>
                        <w:t xml:space="preserve">le emploi sur l’ensemble du territoire, qui permet d’accompagner l’emploi durable en investissant sur le développement de compétences : l’entreprise est directement partie prenante de cet engagement avec le jeune. </w:t>
                      </w:r>
                    </w:p>
                    <w:p>
                      <w:pPr>
                        <w:pStyle w:val="Contenudecadre"/>
                        <w:overflowPunct w:val="true"/>
                        <w:spacing w:lineRule="auto" w:line="240" w:before="0" w:after="0"/>
                        <w:rPr/>
                      </w:pPr>
                      <w:r>
                        <w:rPr>
                          <w:rFonts w:eastAsia="Calibri" w:cs="" w:cstheme="minorBidi" w:eastAsiaTheme="minorHAnsi"/>
                          <w:b w:val="false"/>
                          <w:bCs w:val="false"/>
                          <w:color w:val="000000"/>
                          <w:sz w:val="22"/>
                          <w:szCs w:val="22"/>
                        </w:rPr>
                        <w:t xml:space="preserve">La mesure est également un levier favorisant des contrats plus longs, en effet il permet aux conseillers de négocier des durées de contrat  d’au moins 6 mois.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548</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bookmarkEnd w:id="16"/>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2502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2144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1749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468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374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6620" cy="2427605"/>
                <wp:effectExtent l="0" t="0" r="0" b="0"/>
                <wp:wrapNone/>
                <wp:docPr id="90"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50785" cy="139065"/>
                <wp:effectExtent l="0" t="0" r="0" b="0"/>
                <wp:wrapNone/>
                <wp:docPr id="9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6620" cy="2653665"/>
                <wp:effectExtent l="0" t="0" r="0" b="0"/>
                <wp:wrapNone/>
                <wp:docPr id="9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b w:val="false"/>
                                <w:b w:val="false"/>
                                <w:bCs w:val="false"/>
                                <w:color w:val="000000"/>
                              </w:rPr>
                            </w:pPr>
                            <w:r>
                              <w:rPr>
                                <w:rFonts w:eastAsia="Calibri" w:eastAsiaTheme="minorHAnsi"/>
                                <w:b w:val="false"/>
                                <w:bCs w:val="false"/>
                                <w:color w:val="000000"/>
                              </w:rPr>
                              <w:t>Démarrage plus difficile que l’apprentissage, pour 2 raisons essentiellement :</w:t>
                            </w:r>
                          </w:p>
                          <w:p>
                            <w:pPr>
                              <w:pStyle w:val="Contenudecadre"/>
                              <w:numPr>
                                <w:ilvl w:val="0"/>
                                <w:numId w:val="1"/>
                              </w:numPr>
                              <w:overflowPunct w:val="true"/>
                              <w:spacing w:lineRule="auto" w:line="240" w:before="0" w:after="0"/>
                              <w:rPr>
                                <w:b w:val="false"/>
                                <w:b w:val="false"/>
                                <w:bCs w:val="false"/>
                                <w:color w:val="000000"/>
                              </w:rPr>
                            </w:pPr>
                            <w:r>
                              <w:rPr>
                                <w:rFonts w:eastAsia="Calibri" w:eastAsiaTheme="minorHAnsi"/>
                                <w:b w:val="false"/>
                                <w:bCs w:val="false"/>
                                <w:color w:val="000000"/>
                              </w:rPr>
                              <w:t>Campagne de promotion moins forte que pour l’apprentissage alors que ce sont 2 mesures du Plan 1 jeune, 1 solution avec les mêmes montants d’aides financières.</w:t>
                            </w:r>
                          </w:p>
                          <w:p>
                            <w:pPr>
                              <w:pStyle w:val="Contenudecadre"/>
                              <w:numPr>
                                <w:ilvl w:val="0"/>
                                <w:numId w:val="1"/>
                              </w:numPr>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0"/>
                              </w:rPr>
                            </w:pPr>
                            <w:r>
                              <w:rPr>
                                <w:rFonts w:eastAsia="Calibri" w:cs="" w:cstheme="minorBidi" w:eastAsiaTheme="minorHAnsi"/>
                                <w:b w:val="false"/>
                                <w:bCs w:val="false"/>
                                <w:color w:val="000000"/>
                              </w:rPr>
                              <w:t>Public concerné plus diplômé que celui en apprentissage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b w:val="false"/>
                          <w:b w:val="false"/>
                          <w:bCs w:val="false"/>
                          <w:color w:val="000000"/>
                        </w:rPr>
                      </w:pPr>
                      <w:r>
                        <w:rPr>
                          <w:rFonts w:eastAsia="Calibri" w:eastAsiaTheme="minorHAnsi"/>
                          <w:b w:val="false"/>
                          <w:bCs w:val="false"/>
                          <w:color w:val="000000"/>
                        </w:rPr>
                        <w:t>Démarrage plus difficile que l’apprentissage, pour 2 raisons essentiellement :</w:t>
                      </w:r>
                    </w:p>
                    <w:p>
                      <w:pPr>
                        <w:pStyle w:val="Contenudecadre"/>
                        <w:numPr>
                          <w:ilvl w:val="0"/>
                          <w:numId w:val="1"/>
                        </w:numPr>
                        <w:overflowPunct w:val="true"/>
                        <w:spacing w:lineRule="auto" w:line="240" w:before="0" w:after="0"/>
                        <w:rPr>
                          <w:b w:val="false"/>
                          <w:b w:val="false"/>
                          <w:bCs w:val="false"/>
                          <w:color w:val="000000"/>
                        </w:rPr>
                      </w:pPr>
                      <w:r>
                        <w:rPr>
                          <w:rFonts w:eastAsia="Calibri" w:eastAsiaTheme="minorHAnsi"/>
                          <w:b w:val="false"/>
                          <w:bCs w:val="false"/>
                          <w:color w:val="000000"/>
                        </w:rPr>
                        <w:t>Campagne de promotion moins forte que pour l’apprentissage alors que ce sont 2 mesures du Plan 1 jeune, 1 solution avec les mêmes montants d’aides financières.</w:t>
                      </w:r>
                    </w:p>
                    <w:p>
                      <w:pPr>
                        <w:pStyle w:val="Contenudecadre"/>
                        <w:numPr>
                          <w:ilvl w:val="0"/>
                          <w:numId w:val="1"/>
                        </w:numPr>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0"/>
                        </w:rPr>
                      </w:pPr>
                      <w:r>
                        <w:rPr>
                          <w:rFonts w:eastAsia="Calibri" w:cs="" w:cstheme="minorBidi" w:eastAsiaTheme="minorHAnsi"/>
                          <w:b w:val="false"/>
                          <w:bCs w:val="false"/>
                          <w:color w:val="000000"/>
                        </w:rPr>
                        <w:t>Public concerné plus diplômé que celui en apprentissage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pPr>
      <w:r>
        <w:rPr>
          <w:rFonts w:cs="Arial" w:ascii="Arial" w:hAnsi="Arial"/>
          <w:sz w:val="20"/>
          <w:szCs w:val="20"/>
        </w:rPr>
        <w:t>Mars    2021, Entrées en garanties jeunes : 786</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bookmarkEnd w:id="17"/>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4673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4088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3639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786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686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573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6620" cy="2427605"/>
                <wp:effectExtent l="0" t="0" r="0" b="0"/>
                <wp:wrapNone/>
                <wp:docPr id="95" name="Forme2"/>
                <a:graphic xmlns:a="http://schemas.openxmlformats.org/drawingml/2006/main">
                  <a:graphicData uri="http://schemas.microsoft.com/office/word/2010/wordprocessingShape">
                    <wps:wsp>
                      <wps:cNvSpPr/>
                      <wps:spPr>
                        <a:xfrm>
                          <a:off x="0" y="0"/>
                          <a:ext cx="5976000" cy="2427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191.0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50785" cy="139065"/>
                <wp:effectExtent l="0" t="0" r="0" b="0"/>
                <wp:wrapNone/>
                <wp:docPr id="9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6620" cy="2653665"/>
                <wp:effectExtent l="0" t="0" r="0" b="0"/>
                <wp:wrapNone/>
                <wp:docPr id="98"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Normal"/>
                              <w:overflowPunct w:val="true"/>
                              <w:spacing w:lineRule="auto" w:line="240" w:before="0" w:after="0"/>
                              <w:rPr/>
                            </w:pPr>
                            <w:r>
                              <w:rPr>
                                <w:rFonts w:eastAsia="Calibri" w:eastAsiaTheme="minorHAnsi"/>
                                <w:b w:val="false"/>
                                <w:bCs w:val="false"/>
                                <w:color w:val="000000"/>
                              </w:rPr>
                              <w:t>Le t</w:t>
                            </w:r>
                            <w:r>
                              <w:rPr>
                                <w:rFonts w:eastAsia="Calibri" w:eastAsiaTheme="minorHAnsi"/>
                                <w:b w:val="false"/>
                                <w:bCs w:val="false"/>
                                <w:color w:val="000000"/>
                              </w:rPr>
                              <w:t>aux de réalisation en Maine et Loire de 18,18% .</w:t>
                            </w:r>
                          </w:p>
                          <w:p>
                            <w:pPr>
                              <w:pStyle w:val="Contenudecadre"/>
                              <w:overflowPunct w:val="true"/>
                              <w:spacing w:lineRule="auto" w:line="240" w:before="0" w:after="0"/>
                              <w:rPr>
                                <w:rFonts w:ascii="Calibri" w:hAnsi="Calibri" w:eastAsia="Calibri" w:asciiTheme="minorHAnsi" w:eastAsiaTheme="minorHAnsi" w:hAnsiTheme="minorHAnsi"/>
                                <w:b w:val="false"/>
                                <w:b w:val="false"/>
                                <w:bCs w:val="false"/>
                                <w:color w:val="000000"/>
                              </w:rPr>
                            </w:pPr>
                            <w:r>
                              <w:rPr>
                                <w:rFonts w:eastAsia="Calibri" w:eastAsiaTheme="minorHAnsi"/>
                                <w:b w:val="false"/>
                                <w:bCs w:val="false"/>
                                <w:color w:val="000000"/>
                              </w:rPr>
                            </w:r>
                          </w:p>
                          <w:p>
                            <w:pPr>
                              <w:pStyle w:val="Contenudecadre"/>
                              <w:overflowPunct w:val="true"/>
                              <w:spacing w:lineRule="auto" w:line="240" w:before="0" w:after="0"/>
                              <w:jc w:val="both"/>
                              <w:rPr/>
                            </w:pPr>
                            <w:r>
                              <w:rPr>
                                <w:rFonts w:eastAsia="Calibri" w:eastAsiaTheme="minorHAnsi"/>
                                <w:b w:val="false"/>
                                <w:bCs w:val="false"/>
                                <w:color w:val="000000"/>
                              </w:rPr>
                              <w:t xml:space="preserve">Un planning prévisionnel d’entrées a été demandé aux missions locales sur toute l’année. Pas de </w:t>
                            </w:r>
                            <w:r>
                              <w:rPr>
                                <w:rFonts w:eastAsia="Calibri" w:eastAsiaTheme="minorHAnsi"/>
                                <w:b w:val="false"/>
                                <w:bCs w:val="false"/>
                                <w:color w:val="000000"/>
                              </w:rPr>
                              <w:t xml:space="preserve">difficultés identifiées </w:t>
                            </w:r>
                            <w:r>
                              <w:rPr>
                                <w:rFonts w:eastAsia="Calibri" w:eastAsiaTheme="minorHAnsi"/>
                                <w:b w:val="false"/>
                                <w:bCs w:val="false"/>
                                <w:color w:val="000000"/>
                              </w:rPr>
                              <w:t>à ce jour sachant que l</w:t>
                            </w:r>
                            <w:r>
                              <w:rPr>
                                <w:rFonts w:eastAsia="Calibri" w:eastAsiaTheme="minorHAnsi"/>
                                <w:b w:val="false"/>
                                <w:bCs w:val="false"/>
                                <w:color w:val="000000"/>
                              </w:rPr>
                              <w:t>a majorité</w:t>
                            </w:r>
                            <w:r>
                              <w:rPr>
                                <w:rFonts w:eastAsia="Calibri" w:eastAsiaTheme="minorHAnsi"/>
                                <w:b w:val="false"/>
                                <w:bCs w:val="false"/>
                                <w:color w:val="000000"/>
                              </w:rPr>
                              <w:t xml:space="preserve"> des entrées </w:t>
                            </w:r>
                            <w:r>
                              <w:rPr>
                                <w:rFonts w:eastAsia="Calibri" w:eastAsiaTheme="minorHAnsi"/>
                                <w:b w:val="false"/>
                                <w:bCs w:val="false"/>
                                <w:color w:val="000000"/>
                              </w:rPr>
                              <w:t xml:space="preserve">va se </w:t>
                            </w:r>
                            <w:r>
                              <w:rPr>
                                <w:rFonts w:eastAsia="Calibri" w:eastAsiaTheme="minorHAnsi"/>
                                <w:b w:val="false"/>
                                <w:bCs w:val="false"/>
                                <w:color w:val="000000"/>
                              </w:rPr>
                              <w:t>faire entre mai et juillet (recrutement de conseillers au sein des Missions locales pour accompagner cette montée en charge).</w:t>
                            </w:r>
                          </w:p>
                          <w:p>
                            <w:pPr>
                              <w:pStyle w:val="Contenudecadre"/>
                              <w:overflowPunct w:val="true"/>
                              <w:spacing w:lineRule="auto" w:line="240" w:before="0" w:after="0"/>
                              <w:rPr>
                                <w:rFonts w:ascii="Calibri" w:hAnsi="Calibri" w:eastAsia="Calibri" w:asciiTheme="minorHAnsi" w:eastAsiaTheme="minorHAnsi" w:hAnsiTheme="minorHAnsi"/>
                              </w:rPr>
                            </w:pPr>
                            <w:r>
                              <w:rPr>
                                <w:rFonts w:eastAsia="Calibri" w:eastAsiaTheme="minorHAnsi"/>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Normal"/>
                        <w:overflowPunct w:val="true"/>
                        <w:spacing w:lineRule="auto" w:line="240" w:before="0" w:after="0"/>
                        <w:rPr/>
                      </w:pPr>
                      <w:r>
                        <w:rPr>
                          <w:rFonts w:eastAsia="Calibri" w:eastAsiaTheme="minorHAnsi"/>
                          <w:b w:val="false"/>
                          <w:bCs w:val="false"/>
                          <w:color w:val="000000"/>
                        </w:rPr>
                        <w:t>Le t</w:t>
                      </w:r>
                      <w:r>
                        <w:rPr>
                          <w:rFonts w:eastAsia="Calibri" w:eastAsiaTheme="minorHAnsi"/>
                          <w:b w:val="false"/>
                          <w:bCs w:val="false"/>
                          <w:color w:val="000000"/>
                        </w:rPr>
                        <w:t>aux de réalisation en Maine et Loire de 18,18% .</w:t>
                      </w:r>
                    </w:p>
                    <w:p>
                      <w:pPr>
                        <w:pStyle w:val="Contenudecadre"/>
                        <w:overflowPunct w:val="true"/>
                        <w:spacing w:lineRule="auto" w:line="240" w:before="0" w:after="0"/>
                        <w:rPr>
                          <w:rFonts w:ascii="Calibri" w:hAnsi="Calibri" w:eastAsia="Calibri" w:asciiTheme="minorHAnsi" w:eastAsiaTheme="minorHAnsi" w:hAnsiTheme="minorHAnsi"/>
                          <w:b w:val="false"/>
                          <w:b w:val="false"/>
                          <w:bCs w:val="false"/>
                          <w:color w:val="000000"/>
                        </w:rPr>
                      </w:pPr>
                      <w:r>
                        <w:rPr>
                          <w:rFonts w:eastAsia="Calibri" w:eastAsiaTheme="minorHAnsi"/>
                          <w:b w:val="false"/>
                          <w:bCs w:val="false"/>
                          <w:color w:val="000000"/>
                        </w:rPr>
                      </w:r>
                    </w:p>
                    <w:p>
                      <w:pPr>
                        <w:pStyle w:val="Contenudecadre"/>
                        <w:overflowPunct w:val="true"/>
                        <w:spacing w:lineRule="auto" w:line="240" w:before="0" w:after="0"/>
                        <w:jc w:val="both"/>
                        <w:rPr/>
                      </w:pPr>
                      <w:r>
                        <w:rPr>
                          <w:rFonts w:eastAsia="Calibri" w:eastAsiaTheme="minorHAnsi"/>
                          <w:b w:val="false"/>
                          <w:bCs w:val="false"/>
                          <w:color w:val="000000"/>
                        </w:rPr>
                        <w:t xml:space="preserve">Un planning prévisionnel d’entrées a été demandé aux missions locales sur toute l’année. Pas de </w:t>
                      </w:r>
                      <w:r>
                        <w:rPr>
                          <w:rFonts w:eastAsia="Calibri" w:eastAsiaTheme="minorHAnsi"/>
                          <w:b w:val="false"/>
                          <w:bCs w:val="false"/>
                          <w:color w:val="000000"/>
                        </w:rPr>
                        <w:t xml:space="preserve">difficultés identifiées </w:t>
                      </w:r>
                      <w:r>
                        <w:rPr>
                          <w:rFonts w:eastAsia="Calibri" w:eastAsiaTheme="minorHAnsi"/>
                          <w:b w:val="false"/>
                          <w:bCs w:val="false"/>
                          <w:color w:val="000000"/>
                        </w:rPr>
                        <w:t>à ce jour sachant que l</w:t>
                      </w:r>
                      <w:r>
                        <w:rPr>
                          <w:rFonts w:eastAsia="Calibri" w:eastAsiaTheme="minorHAnsi"/>
                          <w:b w:val="false"/>
                          <w:bCs w:val="false"/>
                          <w:color w:val="000000"/>
                        </w:rPr>
                        <w:t>a majorité</w:t>
                      </w:r>
                      <w:r>
                        <w:rPr>
                          <w:rFonts w:eastAsia="Calibri" w:eastAsiaTheme="minorHAnsi"/>
                          <w:b w:val="false"/>
                          <w:bCs w:val="false"/>
                          <w:color w:val="000000"/>
                        </w:rPr>
                        <w:t xml:space="preserve"> des entrées </w:t>
                      </w:r>
                      <w:r>
                        <w:rPr>
                          <w:rFonts w:eastAsia="Calibri" w:eastAsiaTheme="minorHAnsi"/>
                          <w:b w:val="false"/>
                          <w:bCs w:val="false"/>
                          <w:color w:val="000000"/>
                        </w:rPr>
                        <w:t xml:space="preserve">va se </w:t>
                      </w:r>
                      <w:r>
                        <w:rPr>
                          <w:rFonts w:eastAsia="Calibri" w:eastAsiaTheme="minorHAnsi"/>
                          <w:b w:val="false"/>
                          <w:bCs w:val="false"/>
                          <w:color w:val="000000"/>
                        </w:rPr>
                        <w:t>faire entre mai et juillet (recrutement de conseillers au sein des Missions locales pour accompagner cette montée en charge).</w:t>
                      </w:r>
                    </w:p>
                    <w:p>
                      <w:pPr>
                        <w:pStyle w:val="Contenudecadre"/>
                        <w:overflowPunct w:val="true"/>
                        <w:spacing w:lineRule="auto" w:line="240" w:before="0" w:after="0"/>
                        <w:rPr>
                          <w:rFonts w:ascii="Calibri" w:hAnsi="Calibri" w:eastAsia="Calibri" w:asciiTheme="minorHAnsi" w:eastAsiaTheme="minorHAnsi" w:hAnsiTheme="minorHAnsi"/>
                        </w:rPr>
                      </w:pPr>
                      <w:r>
                        <w:rPr>
                          <w:rFonts w:eastAsia="Calibri" w:eastAsiaTheme="minorHAnsi"/>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203</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bookmarkEnd w:id="18"/>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756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653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561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203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174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148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6620" cy="2555875"/>
                <wp:effectExtent l="0" t="0" r="0" b="0"/>
                <wp:wrapNone/>
                <wp:docPr id="100" name="Forme2"/>
                <a:graphic xmlns:a="http://schemas.openxmlformats.org/drawingml/2006/main">
                  <a:graphicData uri="http://schemas.microsoft.com/office/word/2010/wordprocessingShape">
                    <wps:wsp>
                      <wps:cNvSpPr/>
                      <wps:spPr>
                        <a:xfrm>
                          <a:off x="0" y="0"/>
                          <a:ext cx="5976000" cy="25552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201.1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2807970</wp:posOffset>
                </wp:positionV>
                <wp:extent cx="7550785" cy="139065"/>
                <wp:effectExtent l="0" t="0" r="0" b="0"/>
                <wp:wrapNone/>
                <wp:docPr id="101"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21.1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6620" cy="2653665"/>
                <wp:effectExtent l="0" t="0" r="0" b="0"/>
                <wp:wrapNone/>
                <wp:docPr id="103" name="Cadre1"/>
                <a:graphic xmlns:a="http://schemas.openxmlformats.org/drawingml/2006/main">
                  <a:graphicData uri="http://schemas.microsoft.com/office/word/2010/wordprocessingShape">
                    <wps:wsp>
                      <wps:cNvSpPr/>
                      <wps:spPr>
                        <a:xfrm>
                          <a:off x="0" y="0"/>
                          <a:ext cx="5976000" cy="26532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Normal"/>
                              <w:overflowPunct w:val="true"/>
                              <w:spacing w:lineRule="auto" w:line="240" w:before="0" w:after="0"/>
                              <w:rPr/>
                            </w:pPr>
                            <w:r>
                              <w:rPr>
                                <w:rFonts w:eastAsia="Calibri" w:eastAsiaTheme="minorHAnsi"/>
                                <w:b w:val="false"/>
                                <w:bCs w:val="false"/>
                                <w:color w:val="000000"/>
                                <w:sz w:val="22"/>
                                <w:szCs w:val="22"/>
                              </w:rPr>
                              <w:t>Le t</w:t>
                            </w:r>
                            <w:r>
                              <w:rPr>
                                <w:rFonts w:eastAsia="Calibri" w:eastAsiaTheme="minorHAnsi"/>
                                <w:b w:val="false"/>
                                <w:bCs w:val="false"/>
                                <w:color w:val="000000"/>
                                <w:sz w:val="22"/>
                                <w:szCs w:val="22"/>
                              </w:rPr>
                              <w:t xml:space="preserve">aux de réalisation </w:t>
                            </w:r>
                            <w:r>
                              <w:rPr>
                                <w:rFonts w:eastAsia="Calibri" w:eastAsiaTheme="minorHAnsi"/>
                                <w:b w:val="false"/>
                                <w:bCs w:val="false"/>
                                <w:color w:val="000000"/>
                                <w:sz w:val="22"/>
                                <w:szCs w:val="22"/>
                              </w:rPr>
                              <w:t xml:space="preserve">est </w:t>
                            </w:r>
                            <w:r>
                              <w:rPr>
                                <w:rFonts w:eastAsia="Calibri" w:eastAsiaTheme="minorHAnsi"/>
                                <w:b w:val="false"/>
                                <w:bCs w:val="false"/>
                                <w:color w:val="000000"/>
                                <w:sz w:val="22"/>
                                <w:szCs w:val="22"/>
                              </w:rPr>
                              <w:t xml:space="preserve">de 7,66% en Maine et Loire </w:t>
                            </w:r>
                            <w:r>
                              <w:rPr>
                                <w:rFonts w:eastAsia="Calibri" w:eastAsiaTheme="minorHAnsi"/>
                                <w:b w:val="false"/>
                                <w:bCs w:val="false"/>
                                <w:color w:val="000000"/>
                                <w:sz w:val="22"/>
                                <w:szCs w:val="22"/>
                              </w:rPr>
                              <w:t>(</w:t>
                            </w:r>
                            <w:r>
                              <w:rPr>
                                <w:rFonts w:eastAsia="Calibri" w:eastAsiaTheme="minorHAnsi"/>
                                <w:b w:val="false"/>
                                <w:bCs w:val="false"/>
                                <w:color w:val="000000"/>
                                <w:sz w:val="22"/>
                                <w:szCs w:val="22"/>
                              </w:rPr>
                              <w:t>6,46 % en PDL</w:t>
                            </w:r>
                            <w:r>
                              <w:rPr>
                                <w:rFonts w:eastAsia="Calibri" w:eastAsiaTheme="minorHAnsi"/>
                                <w:b w:val="false"/>
                                <w:bCs w:val="false"/>
                                <w:color w:val="000000"/>
                                <w:sz w:val="22"/>
                                <w:szCs w:val="22"/>
                              </w:rPr>
                              <w:t>)</w:t>
                            </w:r>
                            <w:r>
                              <w:rPr>
                                <w:rFonts w:eastAsia="Calibri" w:eastAsiaTheme="minorHAnsi"/>
                                <w:b w:val="false"/>
                                <w:bCs w:val="false"/>
                                <w:color w:val="000000"/>
                                <w:sz w:val="22"/>
                                <w:szCs w:val="22"/>
                              </w:rPr>
                              <w:t xml:space="preserve"> </w:t>
                            </w:r>
                            <w:r>
                              <w:rPr>
                                <w:rFonts w:eastAsia="Calibri" w:cs="" w:eastAsiaTheme="minorHAnsi"/>
                                <w:b w:val="false"/>
                                <w:bCs w:val="false"/>
                                <w:color w:val="000000"/>
                                <w:sz w:val="22"/>
                                <w:szCs w:val="22"/>
                              </w:rPr>
                              <w:t>malgré la forte mobilisation de tous les acteurs.</w:t>
                            </w:r>
                          </w:p>
                          <w:p>
                            <w:pPr>
                              <w:pStyle w:val="Contenudecadre"/>
                              <w:overflowPunct w:val="true"/>
                              <w:spacing w:lineRule="auto" w:line="240" w:before="0" w:after="0"/>
                              <w:jc w:val="both"/>
                              <w:rPr/>
                            </w:pPr>
                            <w:r>
                              <w:rPr>
                                <w:rFonts w:eastAsia="Calibri" w:eastAsiaTheme="minorHAnsi"/>
                                <w:b w:val="false"/>
                                <w:bCs w:val="false"/>
                                <w:color w:val="000000"/>
                                <w:sz w:val="22"/>
                                <w:szCs w:val="22"/>
                              </w:rPr>
                              <w:t xml:space="preserve">Difficultés à prescrire ce type de contrats destiné au  secteur non marchand   (collectivités locales et associations), le secteur associatif étant peu recruteur en raison de la crise sanitaire. </w:t>
                            </w:r>
                          </w:p>
                          <w:p>
                            <w:pPr>
                              <w:pStyle w:val="Contenudecadre"/>
                              <w:overflowPunct w:val="true"/>
                              <w:spacing w:lineRule="auto" w:line="240" w:before="0" w:after="0"/>
                              <w:jc w:val="both"/>
                              <w:rPr>
                                <w:rFonts w:eastAsia="Calibri" w:eastAsiaTheme="minorHAnsi"/>
                                <w:b w:val="false"/>
                                <w:b w:val="false"/>
                                <w:bCs w:val="false"/>
                                <w:color w:val="000000"/>
                                <w:sz w:val="22"/>
                                <w:szCs w:val="22"/>
                              </w:rPr>
                            </w:pPr>
                            <w:r>
                              <w:rPr/>
                            </w:r>
                          </w:p>
                          <w:p>
                            <w:pPr>
                              <w:pStyle w:val="Contenudecadre"/>
                              <w:overflowPunct w:val="true"/>
                              <w:spacing w:lineRule="auto" w:line="240" w:before="0" w:after="0"/>
                              <w:jc w:val="both"/>
                              <w:rPr/>
                            </w:pPr>
                            <w:r>
                              <w:rPr>
                                <w:rFonts w:eastAsia="Calibri" w:cs="" w:eastAsiaTheme="minorHAnsi"/>
                                <w:b w:val="false"/>
                                <w:bCs w:val="false"/>
                                <w:color w:val="000000"/>
                                <w:sz w:val="22"/>
                                <w:szCs w:val="22"/>
                              </w:rPr>
                              <w:t xml:space="preserve">La mobilisation de « gros porteurs » de PEC serait la seule manière de faire l’effet levier attendu. </w:t>
                            </w:r>
                            <w:r>
                              <w:rPr>
                                <w:rFonts w:eastAsia="Calibri" w:cs="" w:eastAsiaTheme="minorHAnsi"/>
                                <w:b w:val="false"/>
                                <w:bCs w:val="false"/>
                                <w:color w:val="000000"/>
                                <w:sz w:val="22"/>
                                <w:szCs w:val="22"/>
                              </w:rPr>
                              <w:t>Dans cette optique, et a</w:t>
                            </w:r>
                            <w:r>
                              <w:rPr>
                                <w:rFonts w:eastAsia="Arial" w:cs="Calibri" w:cstheme="minorHAnsi"/>
                                <w:b w:val="false"/>
                                <w:bCs w:val="false"/>
                                <w:color w:val="000000"/>
                                <w:sz w:val="22"/>
                                <w:szCs w:val="22"/>
                              </w:rPr>
                              <w:t xml:space="preserve">vec le soutien de la Direction Territoriale de l’ARS, </w:t>
                            </w:r>
                            <w:r>
                              <w:rPr>
                                <w:rFonts w:eastAsia="Arial" w:cs="Calibri" w:cstheme="minorHAnsi"/>
                                <w:b w:val="false"/>
                                <w:bCs w:val="false"/>
                                <w:color w:val="000000"/>
                                <w:sz w:val="22"/>
                                <w:szCs w:val="22"/>
                              </w:rPr>
                              <w:t xml:space="preserve">une </w:t>
                            </w:r>
                            <w:r>
                              <w:rPr>
                                <w:rFonts w:eastAsia="Arial" w:cs="Calibri" w:cstheme="minorHAnsi"/>
                                <w:b w:val="false"/>
                                <w:bCs w:val="false"/>
                                <w:color w:val="000000"/>
                                <w:sz w:val="22"/>
                                <w:szCs w:val="22"/>
                              </w:rPr>
                              <w:t xml:space="preserve">prise de contact avec les centres hospitaliers du département </w:t>
                            </w:r>
                            <w:r>
                              <w:rPr>
                                <w:rFonts w:eastAsia="Arial" w:cs="Calibri" w:cstheme="minorHAnsi"/>
                                <w:b w:val="false"/>
                                <w:bCs w:val="false"/>
                                <w:color w:val="000000"/>
                                <w:sz w:val="22"/>
                                <w:szCs w:val="22"/>
                              </w:rPr>
                              <w:t>a eu lieu en vue d’</w:t>
                            </w:r>
                            <w:r>
                              <w:rPr>
                                <w:rFonts w:eastAsia="Arial" w:cs="Calibri" w:cstheme="minorHAnsi"/>
                                <w:b w:val="false"/>
                                <w:bCs w:val="false"/>
                                <w:color w:val="000000"/>
                                <w:sz w:val="22"/>
                                <w:szCs w:val="22"/>
                              </w:rPr>
                              <w:t xml:space="preserve">accueillir de nouveaux salariés avec ce type de contrats. </w:t>
                            </w:r>
                          </w:p>
                          <w:p>
                            <w:pPr>
                              <w:pStyle w:val="Contenudecadre"/>
                              <w:overflowPunct w:val="true"/>
                              <w:spacing w:lineRule="auto" w:line="240" w:before="0" w:after="0"/>
                              <w:jc w:val="both"/>
                              <w:rPr>
                                <w:rFonts w:eastAsia="Arial" w:cs="Calibri" w:cstheme="minorHAnsi"/>
                                <w:b w:val="false"/>
                                <w:b w:val="false"/>
                                <w:bCs w:val="false"/>
                                <w:color w:val="000000"/>
                                <w:sz w:val="22"/>
                                <w:szCs w:val="22"/>
                              </w:rPr>
                            </w:pPr>
                            <w:r>
                              <w:rPr/>
                            </w:r>
                          </w:p>
                          <w:p>
                            <w:pPr>
                              <w:pStyle w:val="Contenudecadre"/>
                              <w:overflowPunct w:val="true"/>
                              <w:spacing w:lineRule="auto" w:line="240" w:before="0" w:after="0"/>
                              <w:jc w:val="both"/>
                              <w:rPr/>
                            </w:pPr>
                            <w:r>
                              <w:rPr>
                                <w:rFonts w:eastAsia="Arial" w:cs="Calibri" w:cstheme="minorHAnsi"/>
                                <w:b w:val="false"/>
                                <w:bCs w:val="false"/>
                                <w:color w:val="000000"/>
                                <w:sz w:val="22"/>
                                <w:szCs w:val="22"/>
                              </w:rPr>
                              <w:t>En outre d</w:t>
                            </w:r>
                            <w:r>
                              <w:rPr>
                                <w:rFonts w:eastAsia="Calibri" w:cs="" w:eastAsiaTheme="minorHAnsi"/>
                                <w:b w:val="false"/>
                                <w:bCs w:val="false"/>
                                <w:color w:val="000000"/>
                                <w:sz w:val="22"/>
                                <w:szCs w:val="22"/>
                              </w:rPr>
                              <w:t>es travaux sont engagés avec des acteurs économiques locaux, et un c</w:t>
                            </w:r>
                            <w:r>
                              <w:rPr>
                                <w:rFonts w:eastAsia="Calibri" w:eastAsiaTheme="minorHAnsi"/>
                                <w:b w:val="false"/>
                                <w:bCs w:val="false"/>
                                <w:color w:val="000000"/>
                                <w:sz w:val="22"/>
                                <w:szCs w:val="22"/>
                              </w:rPr>
                              <w:t>ourrier du Préfet a été adressé aux collectivités locales le 19 avril 2021 pour promouvoir le dispositif.</w:t>
                            </w:r>
                          </w:p>
                          <w:p>
                            <w:pPr>
                              <w:pStyle w:val="Contenudecadre"/>
                              <w:widowControl w:val="false"/>
                              <w:tabs>
                                <w:tab w:val="left" w:pos="1418" w:leader="none"/>
                              </w:tabs>
                              <w:suppressAutoHyphens w:val="true"/>
                              <w:spacing w:lineRule="auto" w:line="240" w:before="0" w:after="0"/>
                              <w:jc w:val="both"/>
                              <w:textAlignment w:val="baseline"/>
                              <w:rPr>
                                <w:rFonts w:ascii="Calibri" w:hAnsi="Calibri" w:eastAsia="Calibri" w:asciiTheme="minorHAnsi" w:eastAsiaTheme="minorHAnsi" w:hAnsiTheme="minorHAnsi"/>
                                <w:b/>
                                <w:b/>
                                <w:bCs/>
                                <w:sz w:val="20"/>
                                <w:szCs w:val="20"/>
                              </w:rPr>
                            </w:pPr>
                            <w:r>
                              <w:rPr>
                                <w:rFonts w:eastAsia="Calibri" w:eastAsiaTheme="minorHAnsi"/>
                                <w:b/>
                                <w:bCs/>
                                <w:sz w:val="20"/>
                                <w:szCs w:val="20"/>
                              </w:rPr>
                            </w:r>
                          </w:p>
                          <w:p>
                            <w:pPr>
                              <w:pStyle w:val="Contenudecadre"/>
                              <w:overflowPunct w:val="true"/>
                              <w:spacing w:lineRule="auto" w:line="240" w:before="0" w:after="0"/>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08.85pt">
                <w10:wrap type="square"/>
                <v:fill o:detectmouseclick="t" on="false"/>
                <v:stroke color="#3465a4" joinstyle="round" endcap="flat"/>
                <v:textbox>
                  <w:txbxContent>
                    <w:p>
                      <w:pPr>
                        <w:pStyle w:val="Contenudecadre"/>
                        <w:overflowPunct w:val="tru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Normal"/>
                        <w:overflowPunct w:val="true"/>
                        <w:spacing w:lineRule="auto" w:line="240" w:before="0" w:after="0"/>
                        <w:rPr/>
                      </w:pPr>
                      <w:r>
                        <w:rPr>
                          <w:rFonts w:eastAsia="Calibri" w:eastAsiaTheme="minorHAnsi"/>
                          <w:b w:val="false"/>
                          <w:bCs w:val="false"/>
                          <w:color w:val="000000"/>
                          <w:sz w:val="22"/>
                          <w:szCs w:val="22"/>
                        </w:rPr>
                        <w:t>Le t</w:t>
                      </w:r>
                      <w:r>
                        <w:rPr>
                          <w:rFonts w:eastAsia="Calibri" w:eastAsiaTheme="minorHAnsi"/>
                          <w:b w:val="false"/>
                          <w:bCs w:val="false"/>
                          <w:color w:val="000000"/>
                          <w:sz w:val="22"/>
                          <w:szCs w:val="22"/>
                        </w:rPr>
                        <w:t xml:space="preserve">aux de réalisation </w:t>
                      </w:r>
                      <w:r>
                        <w:rPr>
                          <w:rFonts w:eastAsia="Calibri" w:eastAsiaTheme="minorHAnsi"/>
                          <w:b w:val="false"/>
                          <w:bCs w:val="false"/>
                          <w:color w:val="000000"/>
                          <w:sz w:val="22"/>
                          <w:szCs w:val="22"/>
                        </w:rPr>
                        <w:t xml:space="preserve">est </w:t>
                      </w:r>
                      <w:r>
                        <w:rPr>
                          <w:rFonts w:eastAsia="Calibri" w:eastAsiaTheme="minorHAnsi"/>
                          <w:b w:val="false"/>
                          <w:bCs w:val="false"/>
                          <w:color w:val="000000"/>
                          <w:sz w:val="22"/>
                          <w:szCs w:val="22"/>
                        </w:rPr>
                        <w:t xml:space="preserve">de 7,66% en Maine et Loire </w:t>
                      </w:r>
                      <w:r>
                        <w:rPr>
                          <w:rFonts w:eastAsia="Calibri" w:eastAsiaTheme="minorHAnsi"/>
                          <w:b w:val="false"/>
                          <w:bCs w:val="false"/>
                          <w:color w:val="000000"/>
                          <w:sz w:val="22"/>
                          <w:szCs w:val="22"/>
                        </w:rPr>
                        <w:t>(</w:t>
                      </w:r>
                      <w:r>
                        <w:rPr>
                          <w:rFonts w:eastAsia="Calibri" w:eastAsiaTheme="minorHAnsi"/>
                          <w:b w:val="false"/>
                          <w:bCs w:val="false"/>
                          <w:color w:val="000000"/>
                          <w:sz w:val="22"/>
                          <w:szCs w:val="22"/>
                        </w:rPr>
                        <w:t>6,46 % en PDL</w:t>
                      </w:r>
                      <w:r>
                        <w:rPr>
                          <w:rFonts w:eastAsia="Calibri" w:eastAsiaTheme="minorHAnsi"/>
                          <w:b w:val="false"/>
                          <w:bCs w:val="false"/>
                          <w:color w:val="000000"/>
                          <w:sz w:val="22"/>
                          <w:szCs w:val="22"/>
                        </w:rPr>
                        <w:t>)</w:t>
                      </w:r>
                      <w:r>
                        <w:rPr>
                          <w:rFonts w:eastAsia="Calibri" w:eastAsiaTheme="minorHAnsi"/>
                          <w:b w:val="false"/>
                          <w:bCs w:val="false"/>
                          <w:color w:val="000000"/>
                          <w:sz w:val="22"/>
                          <w:szCs w:val="22"/>
                        </w:rPr>
                        <w:t xml:space="preserve"> </w:t>
                      </w:r>
                      <w:r>
                        <w:rPr>
                          <w:rFonts w:eastAsia="Calibri" w:cs="" w:eastAsiaTheme="minorHAnsi"/>
                          <w:b w:val="false"/>
                          <w:bCs w:val="false"/>
                          <w:color w:val="000000"/>
                          <w:sz w:val="22"/>
                          <w:szCs w:val="22"/>
                        </w:rPr>
                        <w:t>malgré la forte mobilisation de tous les acteurs.</w:t>
                      </w:r>
                    </w:p>
                    <w:p>
                      <w:pPr>
                        <w:pStyle w:val="Contenudecadre"/>
                        <w:overflowPunct w:val="true"/>
                        <w:spacing w:lineRule="auto" w:line="240" w:before="0" w:after="0"/>
                        <w:jc w:val="both"/>
                        <w:rPr/>
                      </w:pPr>
                      <w:r>
                        <w:rPr>
                          <w:rFonts w:eastAsia="Calibri" w:eastAsiaTheme="minorHAnsi"/>
                          <w:b w:val="false"/>
                          <w:bCs w:val="false"/>
                          <w:color w:val="000000"/>
                          <w:sz w:val="22"/>
                          <w:szCs w:val="22"/>
                        </w:rPr>
                        <w:t xml:space="preserve">Difficultés à prescrire ce type de contrats destiné au  secteur non marchand   (collectivités locales et associations), le secteur associatif étant peu recruteur en raison de la crise sanitaire. </w:t>
                      </w:r>
                    </w:p>
                    <w:p>
                      <w:pPr>
                        <w:pStyle w:val="Contenudecadre"/>
                        <w:overflowPunct w:val="true"/>
                        <w:spacing w:lineRule="auto" w:line="240" w:before="0" w:after="0"/>
                        <w:jc w:val="both"/>
                        <w:rPr>
                          <w:rFonts w:eastAsia="Calibri" w:eastAsiaTheme="minorHAnsi"/>
                          <w:b w:val="false"/>
                          <w:b w:val="false"/>
                          <w:bCs w:val="false"/>
                          <w:color w:val="000000"/>
                          <w:sz w:val="22"/>
                          <w:szCs w:val="22"/>
                        </w:rPr>
                      </w:pPr>
                      <w:r>
                        <w:rPr/>
                      </w:r>
                    </w:p>
                    <w:p>
                      <w:pPr>
                        <w:pStyle w:val="Contenudecadre"/>
                        <w:overflowPunct w:val="true"/>
                        <w:spacing w:lineRule="auto" w:line="240" w:before="0" w:after="0"/>
                        <w:jc w:val="both"/>
                        <w:rPr/>
                      </w:pPr>
                      <w:r>
                        <w:rPr>
                          <w:rFonts w:eastAsia="Calibri" w:cs="" w:eastAsiaTheme="minorHAnsi"/>
                          <w:b w:val="false"/>
                          <w:bCs w:val="false"/>
                          <w:color w:val="000000"/>
                          <w:sz w:val="22"/>
                          <w:szCs w:val="22"/>
                        </w:rPr>
                        <w:t xml:space="preserve">La mobilisation de « gros porteurs » de PEC serait la seule manière de faire l’effet levier attendu. </w:t>
                      </w:r>
                      <w:r>
                        <w:rPr>
                          <w:rFonts w:eastAsia="Calibri" w:cs="" w:eastAsiaTheme="minorHAnsi"/>
                          <w:b w:val="false"/>
                          <w:bCs w:val="false"/>
                          <w:color w:val="000000"/>
                          <w:sz w:val="22"/>
                          <w:szCs w:val="22"/>
                        </w:rPr>
                        <w:t>Dans cette optique, et a</w:t>
                      </w:r>
                      <w:r>
                        <w:rPr>
                          <w:rFonts w:eastAsia="Arial" w:cs="Calibri" w:cstheme="minorHAnsi"/>
                          <w:b w:val="false"/>
                          <w:bCs w:val="false"/>
                          <w:color w:val="000000"/>
                          <w:sz w:val="22"/>
                          <w:szCs w:val="22"/>
                        </w:rPr>
                        <w:t xml:space="preserve">vec le soutien de la Direction Territoriale de l’ARS, </w:t>
                      </w:r>
                      <w:r>
                        <w:rPr>
                          <w:rFonts w:eastAsia="Arial" w:cs="Calibri" w:cstheme="minorHAnsi"/>
                          <w:b w:val="false"/>
                          <w:bCs w:val="false"/>
                          <w:color w:val="000000"/>
                          <w:sz w:val="22"/>
                          <w:szCs w:val="22"/>
                        </w:rPr>
                        <w:t xml:space="preserve">une </w:t>
                      </w:r>
                      <w:r>
                        <w:rPr>
                          <w:rFonts w:eastAsia="Arial" w:cs="Calibri" w:cstheme="minorHAnsi"/>
                          <w:b w:val="false"/>
                          <w:bCs w:val="false"/>
                          <w:color w:val="000000"/>
                          <w:sz w:val="22"/>
                          <w:szCs w:val="22"/>
                        </w:rPr>
                        <w:t xml:space="preserve">prise de contact avec les centres hospitaliers du département </w:t>
                      </w:r>
                      <w:r>
                        <w:rPr>
                          <w:rFonts w:eastAsia="Arial" w:cs="Calibri" w:cstheme="minorHAnsi"/>
                          <w:b w:val="false"/>
                          <w:bCs w:val="false"/>
                          <w:color w:val="000000"/>
                          <w:sz w:val="22"/>
                          <w:szCs w:val="22"/>
                        </w:rPr>
                        <w:t>a eu lieu en vue d’</w:t>
                      </w:r>
                      <w:r>
                        <w:rPr>
                          <w:rFonts w:eastAsia="Arial" w:cs="Calibri" w:cstheme="minorHAnsi"/>
                          <w:b w:val="false"/>
                          <w:bCs w:val="false"/>
                          <w:color w:val="000000"/>
                          <w:sz w:val="22"/>
                          <w:szCs w:val="22"/>
                        </w:rPr>
                        <w:t xml:space="preserve">accueillir de nouveaux salariés avec ce type de contrats. </w:t>
                      </w:r>
                    </w:p>
                    <w:p>
                      <w:pPr>
                        <w:pStyle w:val="Contenudecadre"/>
                        <w:overflowPunct w:val="true"/>
                        <w:spacing w:lineRule="auto" w:line="240" w:before="0" w:after="0"/>
                        <w:jc w:val="both"/>
                        <w:rPr>
                          <w:rFonts w:eastAsia="Arial" w:cs="Calibri" w:cstheme="minorHAnsi"/>
                          <w:b w:val="false"/>
                          <w:b w:val="false"/>
                          <w:bCs w:val="false"/>
                          <w:color w:val="000000"/>
                          <w:sz w:val="22"/>
                          <w:szCs w:val="22"/>
                        </w:rPr>
                      </w:pPr>
                      <w:r>
                        <w:rPr/>
                      </w:r>
                    </w:p>
                    <w:p>
                      <w:pPr>
                        <w:pStyle w:val="Contenudecadre"/>
                        <w:overflowPunct w:val="true"/>
                        <w:spacing w:lineRule="auto" w:line="240" w:before="0" w:after="0"/>
                        <w:jc w:val="both"/>
                        <w:rPr/>
                      </w:pPr>
                      <w:r>
                        <w:rPr>
                          <w:rFonts w:eastAsia="Arial" w:cs="Calibri" w:cstheme="minorHAnsi"/>
                          <w:b w:val="false"/>
                          <w:bCs w:val="false"/>
                          <w:color w:val="000000"/>
                          <w:sz w:val="22"/>
                          <w:szCs w:val="22"/>
                        </w:rPr>
                        <w:t>En outre d</w:t>
                      </w:r>
                      <w:r>
                        <w:rPr>
                          <w:rFonts w:eastAsia="Calibri" w:cs="" w:eastAsiaTheme="minorHAnsi"/>
                          <w:b w:val="false"/>
                          <w:bCs w:val="false"/>
                          <w:color w:val="000000"/>
                          <w:sz w:val="22"/>
                          <w:szCs w:val="22"/>
                        </w:rPr>
                        <w:t>es travaux sont engagés avec des acteurs économiques locaux, et un c</w:t>
                      </w:r>
                      <w:r>
                        <w:rPr>
                          <w:rFonts w:eastAsia="Calibri" w:eastAsiaTheme="minorHAnsi"/>
                          <w:b w:val="false"/>
                          <w:bCs w:val="false"/>
                          <w:color w:val="000000"/>
                          <w:sz w:val="22"/>
                          <w:szCs w:val="22"/>
                        </w:rPr>
                        <w:t>ourrier du Préfet a été adressé aux collectivités locales le 19 avril 2021 pour promouvoir le dispositif.</w:t>
                      </w:r>
                    </w:p>
                    <w:p>
                      <w:pPr>
                        <w:pStyle w:val="Contenudecadre"/>
                        <w:widowControl w:val="false"/>
                        <w:tabs>
                          <w:tab w:val="left" w:pos="1418" w:leader="none"/>
                        </w:tabs>
                        <w:suppressAutoHyphens w:val="true"/>
                        <w:spacing w:lineRule="auto" w:line="240" w:before="0" w:after="0"/>
                        <w:jc w:val="both"/>
                        <w:textAlignment w:val="baseline"/>
                        <w:rPr>
                          <w:rFonts w:ascii="Calibri" w:hAnsi="Calibri" w:eastAsia="Calibri" w:asciiTheme="minorHAnsi" w:eastAsiaTheme="minorHAnsi" w:hAnsiTheme="minorHAnsi"/>
                          <w:b/>
                          <w:b/>
                          <w:bCs/>
                          <w:sz w:val="20"/>
                          <w:szCs w:val="20"/>
                        </w:rPr>
                      </w:pPr>
                      <w:r>
                        <w:rPr>
                          <w:rFonts w:eastAsia="Calibri" w:eastAsiaTheme="minorHAnsi"/>
                          <w:b/>
                          <w:bCs/>
                          <w:sz w:val="20"/>
                          <w:szCs w:val="20"/>
                        </w:rPr>
                      </w:r>
                    </w:p>
                    <w:p>
                      <w:pPr>
                        <w:pStyle w:val="Contenudecadre"/>
                        <w:overflowPunct w:val="true"/>
                        <w:spacing w:lineRule="auto" w:line="240" w:before="0" w:after="0"/>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865</w:t>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bookmarkEnd w:id="19"/>
            <w:r>
              <w:rPr>
                <w:b/>
                <w:bCs/>
                <w:sz w:val="20"/>
                <w:szCs w:val="20"/>
              </w:rPr>
              <w:t>: Pays de la Loire</w:t>
            </w:r>
          </w:p>
        </w:tc>
      </w:tr>
      <w:tr>
        <w:trPr>
          <w:trHeight w:val="450"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3542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3346  </w:t>
            </w:r>
          </w:p>
        </w:tc>
      </w:tr>
      <w:tr>
        <w:trPr>
          <w:trHeight w:val="545"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3199  </w:t>
            </w:r>
          </w:p>
        </w:tc>
      </w:tr>
    </w:tbl>
    <w:p>
      <w:pPr>
        <w:pStyle w:val="Normal"/>
        <w:rPr>
          <w:sz w:val="4"/>
          <w:szCs w:val="4"/>
        </w:rPr>
      </w:pPr>
      <w:r>
        <w:rPr>
          <w:sz w:val="4"/>
          <w:szCs w:val="4"/>
        </w:rPr>
      </w:r>
    </w:p>
    <w:tbl>
      <w:tblPr>
        <w:tblStyle w:val="Grilledutableau"/>
        <w:tblW w:w="9417" w:type="dxa"/>
        <w:jc w:val="left"/>
        <w:tblInd w:w="0" w:type="dxa"/>
        <w:tblCellMar>
          <w:top w:w="0" w:type="dxa"/>
          <w:left w:w="9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Maine-et-Loire</w:t>
            </w:r>
          </w:p>
        </w:tc>
      </w:tr>
      <w:tr>
        <w:trPr>
          <w:trHeight w:val="395" w:hRule="atLeast"/>
        </w:trPr>
        <w:tc>
          <w:tcPr>
            <w:tcW w:w="3787"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Mars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865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805  </w:t>
            </w:r>
          </w:p>
        </w:tc>
      </w:tr>
      <w:tr>
        <w:trPr>
          <w:trHeight w:val="617" w:hRule="atLeast"/>
        </w:trPr>
        <w:tc>
          <w:tcPr>
            <w:tcW w:w="3787" w:type="dxa"/>
            <w:tcBorders/>
            <w:shd w:color="auto" w:fill="FFFFFF"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786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6620" cy="2689860"/>
                <wp:effectExtent l="0" t="0" r="0" b="0"/>
                <wp:wrapNone/>
                <wp:docPr id="105" name="Forme2"/>
                <a:graphic xmlns:a="http://schemas.openxmlformats.org/drawingml/2006/main">
                  <a:graphicData uri="http://schemas.microsoft.com/office/word/2010/wordprocessingShape">
                    <wps:wsp>
                      <wps:cNvSpPr/>
                      <wps:spPr>
                        <a:xfrm>
                          <a:off x="0" y="0"/>
                          <a:ext cx="5976000" cy="26892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pt;height:211.7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2807970</wp:posOffset>
                </wp:positionV>
                <wp:extent cx="7550785" cy="139065"/>
                <wp:effectExtent l="0" t="0" r="0" b="0"/>
                <wp:wrapNone/>
                <wp:docPr id="106" name="Forme1"/>
                <a:graphic xmlns:a="http://schemas.openxmlformats.org/drawingml/2006/main">
                  <a:graphicData uri="http://schemas.microsoft.com/office/word/2010/wordprocessingShape">
                    <wps:wsp>
                      <wps:cNvSpPr/>
                      <wps:spPr>
                        <a:xfrm>
                          <a:off x="0" y="0"/>
                          <a:ext cx="755028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21.1pt;width:594.4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6620" cy="2970530"/>
                <wp:effectExtent l="0" t="0" r="0" b="0"/>
                <wp:wrapNone/>
                <wp:docPr id="108" name="Cadre1"/>
                <a:graphic xmlns:a="http://schemas.openxmlformats.org/drawingml/2006/main">
                  <a:graphicData uri="http://schemas.microsoft.com/office/word/2010/wordprocessingShape">
                    <wps:wsp>
                      <wps:cNvSpPr/>
                      <wps:spPr>
                        <a:xfrm>
                          <a:off x="0" y="0"/>
                          <a:ext cx="5976000" cy="29700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Le dispositif connaît une croissance régulière, dans le cadre de</w:t>
                            </w:r>
                            <w:r>
                              <w:rPr>
                                <w:rFonts w:eastAsia="Calibri" w:cs="" w:cstheme="minorBidi" w:eastAsiaTheme="minorHAnsi"/>
                                <w:b w:val="false"/>
                                <w:bCs w:val="false"/>
                                <w:color w:val="00000A"/>
                                <w:kern w:val="0"/>
                                <w:sz w:val="22"/>
                                <w:szCs w:val="22"/>
                                <w:lang w:val="fr-FR" w:eastAsia="en-US" w:bidi="ar-SA"/>
                              </w:rPr>
                              <w:t>s</w:t>
                            </w:r>
                            <w:r>
                              <w:rPr>
                                <w:rFonts w:eastAsia="Calibri" w:cs="" w:cstheme="minorBidi" w:eastAsiaTheme="minorHAnsi"/>
                                <w:b w:val="false"/>
                                <w:bCs w:val="false"/>
                                <w:color w:val="00000A"/>
                                <w:kern w:val="0"/>
                                <w:sz w:val="22"/>
                                <w:szCs w:val="22"/>
                                <w:lang w:val="fr-FR" w:eastAsia="en-US" w:bidi="ar-SA"/>
                              </w:rPr>
                              <w:t xml:space="preserve"> 5 priorités retenues au plan départemental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mobiliser les collectivités territoriales (encore trop peu concernées, moins de 6 % d’entre elles), pour  l’accueil des usagers notamment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renforcer les solidarités intergénérationnelles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réduire les inégalités h/f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promouvoir les actions en faveur du développement durable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xml:space="preserve">- faciliter l’intermédiation, comme levier de déploiement de l’offre de service civique, en permettant la mise à disposition de volontaires, par un organisme agréé, à d’autres structures qui ne le sont pas.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r>
                          </w:p>
                          <w:p>
                            <w:pPr>
                              <w:pStyle w:val="Contenudecadre"/>
                              <w:overflowPunct w:val="true"/>
                              <w:spacing w:lineRule="auto" w:line="240" w:before="0" w:after="0"/>
                              <w:jc w:val="both"/>
                              <w:rPr/>
                            </w:pPr>
                            <w:r>
                              <w:rPr>
                                <w:rFonts w:eastAsia="Calibri" w:cs="" w:cstheme="minorBidi" w:eastAsiaTheme="minorHAnsi"/>
                                <w:b w:val="false"/>
                                <w:bCs w:val="false"/>
                                <w:color w:val="00000A"/>
                                <w:kern w:val="0"/>
                                <w:sz w:val="22"/>
                                <w:szCs w:val="22"/>
                                <w:lang w:val="fr-FR" w:eastAsia="en-US" w:bidi="ar-SA"/>
                              </w:rPr>
                              <w:t xml:space="preserve">Le Maine-et-Loire, enfin, est retenu pour accueillir </w:t>
                            </w:r>
                            <w:r>
                              <w:rPr>
                                <w:rStyle w:val="Accentuationforte"/>
                                <w:rFonts w:eastAsia="Calibri" w:cs="" w:cstheme="minorBidi" w:eastAsiaTheme="minorHAnsi"/>
                                <w:b w:val="false"/>
                                <w:bCs w:val="false"/>
                                <w:color w:val="00000A"/>
                                <w:kern w:val="0"/>
                                <w:sz w:val="22"/>
                                <w:szCs w:val="22"/>
                                <w:lang w:val="fr-FR" w:eastAsia="en-US" w:bidi="ar-SA"/>
                              </w:rPr>
                              <w:t>un Pôle d’Appui au Développement du Service Civique, dans le cadre d’une mission de 9 mois confiée à Unis-Cité, en partenariat avec l’Agence du Service Civique et la Ligue de l’Enseignement.</w:t>
                            </w:r>
                            <w:r>
                              <w:rPr>
                                <w:rFonts w:eastAsia="Calibri" w:cs="" w:cstheme="minorBidi" w:eastAsiaTheme="minorHAnsi"/>
                                <w:b w:val="false"/>
                                <w:bCs w:val="false"/>
                                <w:color w:val="00000A"/>
                                <w:kern w:val="0"/>
                                <w:sz w:val="22"/>
                                <w:szCs w:val="22"/>
                                <w:lang w:val="fr-FR" w:eastAsia="en-US" w:bidi="ar-SA"/>
                              </w:rPr>
                              <w:t xml:space="preserve">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pt;height:233.8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Le dispositif connaît une croissance régulière, dans le cadre de</w:t>
                      </w:r>
                      <w:r>
                        <w:rPr>
                          <w:rFonts w:eastAsia="Calibri" w:cs="" w:cstheme="minorBidi" w:eastAsiaTheme="minorHAnsi"/>
                          <w:b w:val="false"/>
                          <w:bCs w:val="false"/>
                          <w:color w:val="00000A"/>
                          <w:kern w:val="0"/>
                          <w:sz w:val="22"/>
                          <w:szCs w:val="22"/>
                          <w:lang w:val="fr-FR" w:eastAsia="en-US" w:bidi="ar-SA"/>
                        </w:rPr>
                        <w:t>s</w:t>
                      </w:r>
                      <w:r>
                        <w:rPr>
                          <w:rFonts w:eastAsia="Calibri" w:cs="" w:cstheme="minorBidi" w:eastAsiaTheme="minorHAnsi"/>
                          <w:b w:val="false"/>
                          <w:bCs w:val="false"/>
                          <w:color w:val="00000A"/>
                          <w:kern w:val="0"/>
                          <w:sz w:val="22"/>
                          <w:szCs w:val="22"/>
                          <w:lang w:val="fr-FR" w:eastAsia="en-US" w:bidi="ar-SA"/>
                        </w:rPr>
                        <w:t xml:space="preserve"> 5 priorités retenues au plan départemental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mobiliser les collectivités territoriales (encore trop peu concernées, moins de 6 % d’entre elles), pour  l’accueil des usagers notamment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renforcer les solidarités intergénérationnelles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réduire les inégalités h/f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promouvoir les actions en faveur du développement durable ;</w:t>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t xml:space="preserve">- faciliter l’intermédiation, comme levier de déploiement de l’offre de service civique, en permettant la mise à disposition de volontaires, par un organisme agréé, à d’autres structures qui ne le sont pas.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r>
                    </w:p>
                    <w:p>
                      <w:pPr>
                        <w:pStyle w:val="Contenudecadre"/>
                        <w:overflowPunct w:val="true"/>
                        <w:spacing w:lineRule="auto" w:line="240" w:before="0" w:after="0"/>
                        <w:jc w:val="both"/>
                        <w:rPr/>
                      </w:pPr>
                      <w:r>
                        <w:rPr>
                          <w:rFonts w:eastAsia="Calibri" w:cs="" w:cstheme="minorBidi" w:eastAsiaTheme="minorHAnsi"/>
                          <w:b w:val="false"/>
                          <w:bCs w:val="false"/>
                          <w:color w:val="00000A"/>
                          <w:kern w:val="0"/>
                          <w:sz w:val="22"/>
                          <w:szCs w:val="22"/>
                          <w:lang w:val="fr-FR" w:eastAsia="en-US" w:bidi="ar-SA"/>
                        </w:rPr>
                        <w:t xml:space="preserve">Le Maine-et-Loire, enfin, est retenu pour accueillir </w:t>
                      </w:r>
                      <w:r>
                        <w:rPr>
                          <w:rStyle w:val="Accentuationforte"/>
                          <w:rFonts w:eastAsia="Calibri" w:cs="" w:cstheme="minorBidi" w:eastAsiaTheme="minorHAnsi"/>
                          <w:b w:val="false"/>
                          <w:bCs w:val="false"/>
                          <w:color w:val="00000A"/>
                          <w:kern w:val="0"/>
                          <w:sz w:val="22"/>
                          <w:szCs w:val="22"/>
                          <w:lang w:val="fr-FR" w:eastAsia="en-US" w:bidi="ar-SA"/>
                        </w:rPr>
                        <w:t>un Pôle d’Appui au Développement du Service Civique, dans le cadre d’une mission de 9 mois confiée à Unis-Cité, en partenariat avec l’Agence du Service Civique et la Ligue de l’Enseignement.</w:t>
                      </w:r>
                      <w:r>
                        <w:rPr>
                          <w:rFonts w:eastAsia="Calibri" w:cs="" w:cstheme="minorBidi" w:eastAsiaTheme="minorHAnsi"/>
                          <w:b w:val="false"/>
                          <w:bCs w:val="false"/>
                          <w:color w:val="00000A"/>
                          <w:kern w:val="0"/>
                          <w:sz w:val="22"/>
                          <w:szCs w:val="22"/>
                          <w:lang w:val="fr-FR" w:eastAsia="en-US" w:bidi="ar-SA"/>
                        </w:rPr>
                        <w:t xml:space="preserve">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A"/>
                          <w:kern w:val="0"/>
                          <w:sz w:val="22"/>
                          <w:szCs w:val="22"/>
                          <w:lang w:val="fr-FR" w:eastAsia="en-US" w:bidi="ar-SA"/>
                        </w:rPr>
                      </w:pPr>
                      <w:r>
                        <w:rPr>
                          <w:rFonts w:eastAsia="Calibri" w:cs="" w:cstheme="minorBidi" w:eastAsiaTheme="minorHAnsi"/>
                          <w:b w:val="false"/>
                          <w:bCs w:val="false"/>
                          <w:color w:val="00000A"/>
                          <w:kern w:val="0"/>
                          <w:sz w:val="22"/>
                          <w:szCs w:val="22"/>
                          <w:lang w:val="fr-FR" w:eastAsia="en-US" w:bidi="ar-S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70" y="0"/>
              <wp:lineTo x="-270" y="21043"/>
              <wp:lineTo x="20933" y="21043"/>
              <wp:lineTo x="20933" y="0"/>
              <wp:lineTo x="-270" y="0"/>
            </wp:wrapPolygon>
          </wp:wrapTight>
          <wp:docPr id="11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2">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540" y="0"/>
              <wp:lineTo x="-540" y="20377"/>
              <wp:lineTo x="20806" y="20377"/>
              <wp:lineTo x="20806" y="0"/>
              <wp:lineTo x="-540" y="0"/>
            </wp:wrapPolygon>
          </wp:wrapTight>
          <wp:docPr id="11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Accentuationforte">
    <w:name w:val="Accentuation forte"/>
    <w:qFormat/>
    <w:rPr>
      <w:b/>
      <w:bCs/>
    </w:rPr>
  </w:style>
  <w:style w:type="character" w:styleId="ListLabel5">
    <w:name w:val="ListLabel 5"/>
    <w:qFormat/>
    <w:rPr>
      <w:rFonts w:ascii="Calibri" w:hAnsi="Calibri" w:cs="Calibri"/>
      <w:b w:val="false"/>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Calibri" w:hAnsi="Calibri" w:cs="Symbol"/>
      <w:b w:val="false"/>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Calibri" w:hAnsi="Calibri" w:cs="Symbol"/>
      <w:b w:val="false"/>
      <w:sz w:val="22"/>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ascii="Calibri" w:hAnsi="Calibri" w:cs="Symbol"/>
      <w:b w:val="false"/>
      <w:sz w:val="22"/>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Calibri" w:hAnsi="Calibri" w:cs="Calibri"/>
      <w:b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b w:val="false"/>
      <w:sz w:val="22"/>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Calibri" w:hAnsi="Calibri" w:cs="Symbol"/>
      <w:b w:val="false"/>
      <w:sz w:val="22"/>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ascii="Calibri" w:hAnsi="Calibri" w:cs="Symbol"/>
      <w:b w:val="false"/>
      <w:sz w:val="22"/>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Standard">
    <w:name w:val="Standard"/>
    <w:basedOn w:val="Normal"/>
    <w:qFormat/>
    <w:pPr>
      <w:widowControl/>
      <w:spacing w:lineRule="auto" w:line="259" w:before="0" w:after="160"/>
      <w:jc w:val="left"/>
    </w:pPr>
    <w:rPr>
      <w:rFonts w:ascii="Calibri" w:hAnsi="Calibri" w:eastAsia="Calibri" w:cs="Tahoma"/>
      <w:color w:val="00000A"/>
      <w:sz w:val="22"/>
      <w:szCs w:val="22"/>
      <w:lang w:val="fr-FR" w:eastAsia="en-US" w:bidi="ar-SA"/>
    </w:rPr>
  </w:style>
  <w:style w:type="paragraph" w:styleId="Textbody">
    <w:name w:val="Text body"/>
    <w:basedOn w:val="Standard"/>
    <w:qFormat/>
    <w:pPr>
      <w:spacing w:lineRule="auto" w:line="240" w:before="0" w:after="0"/>
      <w:jc w:val="both"/>
    </w:pPr>
    <w:rPr>
      <w:rFonts w:ascii="Times New Roman" w:hAnsi="Times New Roman" w:eastAsia="Times New Roman" w:cs="Times New Roman"/>
      <w:sz w:val="24"/>
      <w:szCs w:val="24"/>
      <w:lang w:eastAsia="fr-FR"/>
    </w:rPr>
  </w:style>
  <w:style w:type="paragraph" w:styleId="03textecourant">
    <w:name w:val="03_texte-courant"/>
    <w:basedOn w:val="Normal"/>
    <w:qFormat/>
    <w:pPr>
      <w:spacing w:lineRule="exact" w:line="260" w:before="0" w:after="120"/>
      <w:jc w:val="both"/>
    </w:pPr>
    <w:rPr>
      <w:rFonts w:ascii="Arial" w:hAnsi="Arial" w:cs="Arial"/>
      <w:bCs/>
    </w:rPr>
  </w:style>
  <w:style w:type="paragraph" w:styleId="02inter2">
    <w:name w:val="02_inter 2"/>
    <w:basedOn w:val="03textecourant"/>
    <w:qFormat/>
    <w:pPr>
      <w:spacing w:lineRule="exact" w:line="300" w:before="0" w:after="60"/>
    </w:pPr>
    <w:rPr>
      <w:color w:val="169B62"/>
      <w:sz w:val="24"/>
      <w:szCs w:val="24"/>
    </w:rPr>
  </w:style>
  <w:style w:type="paragraph" w:styleId="ListParagraph">
    <w:name w:val="List Paragraph"/>
    <w:basedOn w:val="Normal"/>
    <w:qFormat/>
    <w:pPr>
      <w:spacing w:before="280" w:after="280"/>
    </w:pPr>
    <w:rPr>
      <w:rFonts w:ascii="Times New Roman" w:hAnsi="Times New Roman" w:eastAsia="Times New Roman" w:cs="Times New Roman"/>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25</Pages>
  <Words>4241</Words>
  <Characters>23462</Characters>
  <CharactersWithSpaces>28891</CharactersWithSpaces>
  <Paragraphs>906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2021-05-05T18:21:47Z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