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Moselle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114_1346665625">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16_1346665625">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18_1346665625">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20_1346665625">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22_1346665625">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24_1346665625">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26_1346665625">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28_1346665625">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30_1346665625">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32_1346665625">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34_1346665625">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36_1346665625">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38_1346665625">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40_1346665625">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42_1346665625">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44_1346665625">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46_1346665625">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48_1346665625">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50_1346665625">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52_1346665625">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54_1346665625">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56_1346665625">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58_1346665625">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60_1346665625">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3"/>
        </w:numPr>
        <w:rPr/>
      </w:pPr>
      <w:bookmarkStart w:id="0" w:name="__RefHeading___Toc2114_1346665625"/>
      <w:bookmarkEnd w:id="0"/>
      <w:r>
        <w:rPr>
          <w:rFonts w:ascii="Marianne" w:hAnsi="Marianne"/>
          <w:sz w:val="48"/>
          <w:szCs w:val="48"/>
        </w:rPr>
        <w:t>Volet 1 : Écologie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6806"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pP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Les particuliers et entreprises de Moselle n’hésitent pas à mobiliser les aides qui leur sont proposées.</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02inter2"/>
              <w:spacing w:lineRule="auto" w:line="240" w:before="0" w:after="0"/>
              <w:jc w:val="both"/>
              <w:rPr/>
            </w:pPr>
            <w:r>
              <w:rPr>
                <w:rFonts w:ascii="Marianne" w:hAnsi="Marianne"/>
                <w:sz w:val="21"/>
                <w:szCs w:val="21"/>
              </w:rPr>
              <w:t>Le volet "écologie" de France Relance en Moselle, c’est 84 millions d’euros mobilisés pour 68 projets de rénovation des bâtiments de l’État, afin d’améliorer le confort des agents et des usagers. Parmi ces projets, peuvent être cités :</w:t>
            </w:r>
          </w:p>
          <w:p>
            <w:pPr>
              <w:pStyle w:val="03listetiret"/>
              <w:numPr>
                <w:ilvl w:val="0"/>
                <w:numId w:val="2"/>
              </w:numPr>
              <w:spacing w:lineRule="auto" w:line="240" w:before="0" w:after="0"/>
              <w:jc w:val="both"/>
              <w:rPr>
                <w:color w:val="CE181E"/>
              </w:rPr>
            </w:pPr>
            <w:r>
              <w:rPr>
                <w:rFonts w:ascii="Marianne" w:hAnsi="Marianne"/>
                <w:color w:val="000000"/>
                <w:sz w:val="21"/>
                <w:szCs w:val="21"/>
              </w:rPr>
              <w:t>-</w:t>
            </w:r>
            <w:r>
              <w:rPr>
                <w:rFonts w:eastAsia="Calibri" w:cs="Arial" w:ascii="Marianne" w:hAnsi="Marianne" w:eastAsiaTheme="minorHAnsi"/>
                <w:bCs/>
                <w:color w:val="000000" w:themeColor="text1"/>
                <w:kern w:val="0"/>
                <w:sz w:val="21"/>
                <w:szCs w:val="21"/>
                <w:lang w:val="fr-FR" w:eastAsia="en-US" w:bidi="ar-SA"/>
              </w:rPr>
              <w:t xml:space="preserve"> l’aménagement d’une seconde cité administrative à Metz, destinée à regrouper en un lieu unique divers services de l’État aujourd’hui dispersés :</w:t>
            </w:r>
          </w:p>
          <w:p>
            <w:pPr>
              <w:pStyle w:val="03listetiret"/>
              <w:numPr>
                <w:ilvl w:val="0"/>
                <w:numId w:val="2"/>
              </w:numPr>
              <w:spacing w:lineRule="auto" w:line="240" w:before="0" w:after="0"/>
              <w:jc w:val="both"/>
              <w:rPr>
                <w:rFonts w:ascii="Marianne" w:hAnsi="Marianne" w:eastAsia="Calibri" w:cs="Arial" w:eastAsiaTheme="minorHAnsi"/>
                <w:bCs/>
                <w:color w:val="000000" w:themeColor="text1"/>
                <w:kern w:val="0"/>
                <w:sz w:val="21"/>
                <w:szCs w:val="21"/>
                <w:lang w:val="fr-FR" w:eastAsia="en-US" w:bidi="ar-SA"/>
              </w:rPr>
            </w:pPr>
            <w:r>
              <w:rPr>
                <w:rFonts w:eastAsia="Calibri" w:cs="Arial" w:ascii="Marianne" w:hAnsi="Marianne" w:eastAsiaTheme="minorHAnsi"/>
                <w:bCs/>
                <w:color w:val="000000" w:themeColor="text1"/>
                <w:kern w:val="0"/>
                <w:sz w:val="21"/>
                <w:szCs w:val="21"/>
                <w:lang w:val="fr-FR" w:eastAsia="en-US" w:bidi="ar-SA"/>
              </w:rPr>
              <w:t>- des travaux d’isolation thermique et de rénovation énergétique dans plusieurs bâtiments d’enseignement supérieur et résidences universitaires à Metz, Montigny-les-Metz, Saint-Avold, Forbach, et Sarreguemines ;</w:t>
            </w:r>
          </w:p>
          <w:p>
            <w:pPr>
              <w:pStyle w:val="03listetiret"/>
              <w:numPr>
                <w:ilvl w:val="0"/>
                <w:numId w:val="2"/>
              </w:numPr>
              <w:spacing w:lineRule="auto" w:line="240" w:before="0" w:after="0"/>
              <w:jc w:val="both"/>
              <w:rPr>
                <w:rFonts w:ascii="Marianne" w:hAnsi="Marianne" w:eastAsia="Calibri" w:cs="Arial" w:eastAsiaTheme="minorHAnsi"/>
                <w:bCs/>
                <w:color w:val="000000" w:themeColor="text1"/>
                <w:kern w:val="0"/>
                <w:sz w:val="21"/>
                <w:szCs w:val="21"/>
                <w:lang w:val="fr-FR" w:eastAsia="en-US" w:bidi="ar-SA"/>
              </w:rPr>
            </w:pPr>
            <w:r>
              <w:rPr>
                <w:rFonts w:eastAsia="Calibri" w:cs="Arial" w:ascii="Marianne" w:hAnsi="Marianne" w:eastAsiaTheme="minorHAnsi"/>
                <w:bCs/>
                <w:color w:val="000000" w:themeColor="text1"/>
                <w:kern w:val="0"/>
                <w:sz w:val="21"/>
                <w:szCs w:val="21"/>
                <w:lang w:val="fr-FR" w:eastAsia="en-US" w:bidi="ar-SA"/>
              </w:rPr>
              <w:t>- des réfections de toitures, éventuellement assorties de changement d’huisseries et de rénovation du système de chauffage au commissariat de police de Châtel-Saint-Germain ou à l’hôtel de police de Metz ;</w:t>
            </w:r>
          </w:p>
          <w:p>
            <w:pPr>
              <w:pStyle w:val="03listetiret"/>
              <w:numPr>
                <w:ilvl w:val="0"/>
                <w:numId w:val="2"/>
              </w:numPr>
              <w:spacing w:lineRule="auto" w:line="240" w:before="0" w:after="0"/>
              <w:jc w:val="both"/>
              <w:rPr>
                <w:rFonts w:ascii="Marianne" w:hAnsi="Marianne" w:eastAsia="Calibri" w:cs="Arial" w:eastAsiaTheme="minorHAnsi"/>
                <w:b w:val="false"/>
                <w:b w:val="false"/>
                <w:bCs/>
                <w:color w:val="000000" w:themeColor="text1"/>
                <w:kern w:val="0"/>
                <w:sz w:val="21"/>
                <w:szCs w:val="21"/>
                <w:lang w:val="fr-FR" w:eastAsia="en-US" w:bidi="ar-SA"/>
              </w:rPr>
            </w:pPr>
            <w:r>
              <w:rPr>
                <w:rFonts w:eastAsia="Calibri" w:cs="Arial" w:ascii="Marianne" w:hAnsi="Marianne" w:eastAsiaTheme="minorHAnsi"/>
                <w:b w:val="false"/>
                <w:bCs/>
                <w:color w:val="000000" w:themeColor="text1"/>
                <w:kern w:val="0"/>
                <w:sz w:val="21"/>
                <w:szCs w:val="21"/>
                <w:lang w:val="fr-FR" w:eastAsia="en-US" w:bidi="ar-SA"/>
              </w:rPr>
              <w:t>- l’installation de bornes de recharge pour véhicules électriques à la préfecture et dans les sous-préfectures.</w:t>
            </w:r>
          </w:p>
          <w:p>
            <w:pPr>
              <w:pStyle w:val="03listetiret"/>
              <w:numPr>
                <w:ilvl w:val="0"/>
                <w:numId w:val="2"/>
              </w:numPr>
              <w:spacing w:lineRule="auto" w:line="240" w:before="0" w:after="0"/>
              <w:jc w:val="both"/>
              <w:rPr>
                <w:rFonts w:ascii="Marianne" w:hAnsi="Marianne"/>
                <w:sz w:val="21"/>
                <w:szCs w:val="21"/>
              </w:rPr>
            </w:pPr>
            <w:r>
              <w:rPr>
                <w:rFonts w:ascii="Marianne" w:hAnsi="Marianne"/>
                <w:sz w:val="21"/>
                <w:szCs w:val="21"/>
              </w:rPr>
            </w:r>
          </w:p>
          <w:p>
            <w:pPr>
              <w:pStyle w:val="03textecourant"/>
              <w:spacing w:lineRule="auto" w:line="240" w:before="0" w:after="0"/>
              <w:jc w:val="both"/>
              <w:rPr/>
            </w:pPr>
            <w:r>
              <w:rPr>
                <w:rFonts w:ascii="Marianne" w:hAnsi="Marianne"/>
                <w:color w:val="169B62"/>
                <w:sz w:val="21"/>
                <w:szCs w:val="21"/>
              </w:rPr>
              <w:t>France Relance a accompagné les mosellans dans le verdissement de leur véhicule automobile</w:t>
            </w:r>
            <w:r>
              <w:rPr>
                <w:rFonts w:ascii="Marianne" w:hAnsi="Marianne"/>
                <w:sz w:val="21"/>
                <w:szCs w:val="21"/>
              </w:rPr>
              <w:t xml:space="preserve"> avec plus de 4 400 primes à la conversion ou bonus écologique accordés depuis juillet 2020.</w:t>
            </w:r>
          </w:p>
          <w:p>
            <w:pPr>
              <w:pStyle w:val="03textecourant"/>
              <w:spacing w:lineRule="auto" w:line="240" w:before="0" w:after="0"/>
              <w:jc w:val="both"/>
              <w:rPr>
                <w:rFonts w:ascii="Marianne" w:hAnsi="Marianne"/>
                <w:sz w:val="21"/>
                <w:szCs w:val="21"/>
              </w:rPr>
            </w:pPr>
            <w:r>
              <w:rPr>
                <w:rFonts w:ascii="Marianne" w:hAnsi="Marianne"/>
                <w:sz w:val="21"/>
                <w:szCs w:val="21"/>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1"/>
                <w:szCs w:val="21"/>
              </w:rPr>
              <w:t>En 2020, ce sont plus de 3 000</w:t>
            </w:r>
            <w:r>
              <w:rPr>
                <w:rFonts w:eastAsia="Calibri" w:cs="" w:ascii="Marianne" w:hAnsi="Marianne" w:cstheme="minorBidi" w:eastAsiaTheme="minorHAnsi"/>
                <w:b/>
                <w:bCs w:val="false"/>
                <w:color w:val="auto"/>
                <w:sz w:val="21"/>
                <w:szCs w:val="21"/>
              </w:rPr>
              <w:t xml:space="preserve"> </w:t>
            </w:r>
            <w:r>
              <w:rPr>
                <w:rFonts w:eastAsia="Calibri" w:cs="" w:ascii="Marianne" w:hAnsi="Marianne" w:cstheme="minorBidi" w:eastAsiaTheme="minorHAnsi"/>
                <w:b w:val="false"/>
                <w:bCs w:val="false"/>
                <w:color w:val="auto"/>
                <w:sz w:val="21"/>
                <w:szCs w:val="21"/>
              </w:rPr>
              <w:t xml:space="preserve">particuliers qui se sont saisis de MaPrimeRénov’ pour réaliser des travaux destinés à </w:t>
            </w:r>
            <w:r>
              <w:rPr>
                <w:rFonts w:eastAsia="Calibri" w:cs="" w:ascii="Marianne" w:hAnsi="Marianne"/>
                <w:b w:val="false"/>
                <w:bCs w:val="false"/>
                <w:color w:val="169B62"/>
                <w:sz w:val="21"/>
                <w:szCs w:val="21"/>
              </w:rPr>
              <w:t>réduire l’empreinte carbone de leur logement</w:t>
            </w:r>
            <w:r>
              <w:rPr>
                <w:rFonts w:eastAsia="Calibri" w:cs="" w:ascii="Marianne" w:hAnsi="Marianne" w:cstheme="minorBidi" w:eastAsiaTheme="minorHAnsi"/>
                <w:b w:val="false"/>
                <w:bCs w:val="false"/>
                <w:color w:val="auto"/>
                <w:sz w:val="21"/>
                <w:szCs w:val="21"/>
              </w:rPr>
              <w:t>. Depuis le 1</w:t>
            </w:r>
            <w:r>
              <w:rPr>
                <w:rFonts w:eastAsia="Calibri" w:cs="" w:ascii="Marianne" w:hAnsi="Marianne" w:cstheme="minorBidi" w:eastAsiaTheme="minorHAnsi"/>
                <w:b w:val="false"/>
                <w:bCs w:val="false"/>
                <w:color w:val="auto"/>
                <w:sz w:val="21"/>
                <w:szCs w:val="21"/>
                <w:vertAlign w:val="superscript"/>
              </w:rPr>
              <w:t>er</w:t>
            </w:r>
            <w:r>
              <w:rPr>
                <w:rFonts w:eastAsia="Calibri" w:cs="" w:ascii="Marianne" w:hAnsi="Marianne" w:cstheme="minorBidi" w:eastAsiaTheme="minorHAnsi"/>
                <w:b w:val="false"/>
                <w:bCs w:val="false"/>
                <w:color w:val="auto"/>
                <w:sz w:val="21"/>
                <w:szCs w:val="21"/>
              </w:rPr>
              <w:t xml:space="preserve"> janvier 2021, 4 362 nouveaux dossiers ont été déposés et sont engagés, représentant un niveau de subvention de plus de 16 M€, pour un montant de travaux de 56 M€.</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b w:val="false"/>
                <w:bCs w:val="false"/>
                <w:color w:val="169B62"/>
                <w:kern w:val="0"/>
                <w:sz w:val="21"/>
                <w:szCs w:val="21"/>
                <w:lang w:val="fr-FR" w:eastAsia="en-US" w:bidi="ar-SA"/>
              </w:rPr>
              <w:t>France Relance c'est également un soutien conséquent pour la réhabilitation de friches</w:t>
            </w:r>
            <w:r>
              <w:rPr>
                <w:rFonts w:eastAsia="Calibri" w:cs="" w:ascii="Marianne" w:hAnsi="Marianne" w:cstheme="minorBidi" w:eastAsiaTheme="minorHAnsi"/>
                <w:b w:val="false"/>
                <w:bCs w:val="false"/>
                <w:color w:val="auto"/>
                <w:kern w:val="0"/>
                <w:sz w:val="20"/>
                <w:szCs w:val="20"/>
                <w:lang w:val="fr-FR" w:eastAsia="en-US" w:bidi="ar-SA"/>
              </w:rPr>
              <w:t>, avec  8,063 M€ de subventions accordées à 17 opérations mosellanes, soit 33% de l'enveloppe du Grand-Est.</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kern w:val="0"/>
                <w:sz w:val="20"/>
                <w:szCs w:val="20"/>
                <w:lang w:val="fr-FR" w:eastAsia="en-US" w:bidi="ar-SA"/>
              </w:rPr>
            </w:pPr>
            <w:r>
              <w:rPr>
                <w:rFonts w:eastAsia="Calibri" w:cs="" w:cstheme="minorBidi" w:eastAsiaTheme="minorHAnsi" w:ascii="Marianne" w:hAnsi="Marianne"/>
                <w:b w:val="false"/>
                <w:bCs w:val="false"/>
                <w:color w:val="auto"/>
                <w:kern w:val="0"/>
                <w:sz w:val="20"/>
                <w:szCs w:val="20"/>
                <w:lang w:val="fr-FR" w:eastAsia="en-US" w:bidi="ar-SA"/>
              </w:rPr>
            </w:r>
          </w:p>
          <w:p>
            <w:pPr>
              <w:pStyle w:val="Contenudecadre"/>
              <w:overflowPunct w:val="true"/>
              <w:spacing w:lineRule="auto" w:line="240" w:before="0" w:after="0"/>
              <w:jc w:val="both"/>
              <w:rPr/>
            </w:pPr>
            <w:r>
              <w:rPr>
                <w:rFonts w:eastAsia="Calibri" w:cs="Arial" w:ascii="Marianne" w:hAnsi="Marianne"/>
                <w:b w:val="false"/>
                <w:bCs/>
                <w:color w:val="169B62"/>
                <w:kern w:val="0"/>
                <w:sz w:val="21"/>
                <w:szCs w:val="21"/>
                <w:lang w:val="fr-FR" w:eastAsia="en-US" w:bidi="ar-SA"/>
              </w:rPr>
              <w:t>France Relance soutient aussi particulièrement le secteur agricole,</w:t>
            </w:r>
            <w:r>
              <w:rPr>
                <w:rFonts w:eastAsia="Calibri" w:cs="" w:ascii="Marianne" w:hAnsi="Marianne" w:cstheme="minorBidi" w:eastAsiaTheme="minorHAnsi"/>
                <w:b w:val="false"/>
                <w:bCs w:val="false"/>
                <w:color w:val="auto"/>
                <w:kern w:val="0"/>
                <w:sz w:val="20"/>
                <w:szCs w:val="20"/>
                <w:lang w:val="fr-FR" w:eastAsia="en-US" w:bidi="ar-SA"/>
              </w:rPr>
              <w:t xml:space="preserve"> grâce à différents programmes, notamment les « Jardins partagés » , appel à projet qui compte 16 lauréats en Moselle (second département français en nombre de projets).</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1" w:name="__RefHeading___Toc2116_1346665625"/>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2 319 (17%)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2 042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1 739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Grand Est</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13 913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12 428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10 704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3" w:name="__RefHeading___Toc2118_1346665625"/>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4 361 (21%)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100.6 M€ (22%)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3 188 (21%)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84.8 M€ (22%)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2 083 (21%)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70.9 M€ (23%)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Grand Est</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20 443 (9%)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455.4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15 203 (9%)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384.8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10 046 (9%)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307.4 M€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5" w:name="__RefHeading___Toc2120_1346665625"/>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(28%)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(28%)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(24%)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Grand Est</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7" w:name="__RefHeading___Toc2122_1346665625"/>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176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176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Grand Est</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1 597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1 597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9" w:name="__RefHeading___Toc2124_1346665625"/>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2 926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2 814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2 672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Grand Est</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15 799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15 116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14 324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1" w:name="__RefHeading___Toc2126_1346665625"/>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Grand Est</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10"/>
        </w:numPr>
        <w:spacing w:lineRule="auto" w:line="240" w:before="140" w:after="120"/>
        <w:jc w:val="center"/>
        <w:rPr>
          <w:rFonts w:ascii="Marianne" w:hAnsi="Marianne"/>
          <w:sz w:val="24"/>
          <w:szCs w:val="24"/>
        </w:rPr>
      </w:pPr>
      <w:bookmarkStart w:id="13" w:name="__RefHeading___Toc2128_1346665625"/>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(13%)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Grand Est</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82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tableau"/>
              <w:spacing w:lineRule="auto" w:line="240" w:before="0" w:after="0"/>
              <w:rPr>
                <w:b w:val="false"/>
                <w:b w:val="false"/>
                <w:bCs w:val="false"/>
              </w:rPr>
            </w:pPr>
            <w:r>
              <w:rPr>
                <w:rFonts w:eastAsia="Calibri" w:cs="Arial" w:ascii="Marianne" w:hAnsi="Marianne"/>
                <w:b w:val="false"/>
                <w:bCs/>
                <w:color w:val="169B62"/>
                <w:kern w:val="0"/>
                <w:sz w:val="21"/>
                <w:szCs w:val="21"/>
                <w:lang w:val="fr-FR" w:eastAsia="en-US" w:bidi="ar-SA"/>
              </w:rPr>
              <w:t>Une partie des 68 projets de rénovation de bâtiments de l’État se traduisent d'ores et déjà par la conclusion de marchés publics</w:t>
            </w:r>
            <w:r>
              <w:rPr>
                <w:rFonts w:ascii="Marianne" w:hAnsi="Marianne"/>
                <w:b w:val="false"/>
                <w:bCs w:val="false"/>
                <w:sz w:val="20"/>
                <w:szCs w:val="20"/>
              </w:rPr>
              <w:t>, peuvent par exemple être cités :</w:t>
            </w:r>
          </w:p>
          <w:p>
            <w:pPr>
              <w:pStyle w:val="Contenudetableau"/>
              <w:numPr>
                <w:ilvl w:val="0"/>
                <w:numId w:val="30"/>
              </w:numPr>
              <w:spacing w:lineRule="auto" w:line="240" w:before="0" w:after="0"/>
              <w:rPr/>
            </w:pPr>
            <w:r>
              <w:rPr>
                <w:rFonts w:ascii="Marianne" w:hAnsi="Marianne"/>
                <w:b w:val="false"/>
                <w:bCs w:val="false"/>
                <w:sz w:val="20"/>
                <w:szCs w:val="20"/>
              </w:rPr>
              <w:t>le "relamping économie d'énergie" du parking P4, marché d'un montant de 46 414, 80 €, signé le 12 mars 2021 ;</w:t>
            </w:r>
          </w:p>
          <w:p>
            <w:pPr>
              <w:pStyle w:val="Contenudetableau"/>
              <w:numPr>
                <w:ilvl w:val="0"/>
                <w:numId w:val="30"/>
              </w:numPr>
              <w:spacing w:lineRule="auto" w:line="240" w:before="0" w:after="0"/>
              <w:rPr/>
            </w:pPr>
            <w:r>
              <w:rPr>
                <w:rFonts w:ascii="Marianne" w:hAnsi="Marianne"/>
                <w:b w:val="false"/>
                <w:bCs w:val="false"/>
                <w:sz w:val="20"/>
                <w:szCs w:val="20"/>
              </w:rPr>
              <w:t>le changement des chaudières à gaz par une nouvelle génération à condensation, marché d'un montant de 33 261, 57 € signé le 12 mars 2021 ;</w:t>
            </w:r>
          </w:p>
          <w:p>
            <w:pPr>
              <w:pStyle w:val="Contenudetableau"/>
              <w:numPr>
                <w:ilvl w:val="0"/>
                <w:numId w:val="30"/>
              </w:numPr>
              <w:spacing w:lineRule="auto" w:line="240" w:before="0" w:after="0"/>
              <w:rPr/>
            </w:pPr>
            <w:r>
              <w:rPr>
                <w:rFonts w:ascii="Marianne" w:hAnsi="Marianne"/>
                <w:b w:val="false"/>
                <w:bCs w:val="false"/>
                <w:sz w:val="20"/>
                <w:szCs w:val="20"/>
              </w:rPr>
              <w:t xml:space="preserve">la réfection et isolation des toitures de l'hôtel de la préfecture, marché d'un montant de 167 200, 74 € signé le 3 juin (toiture) et 9 juillet (échafaudage). </w:t>
            </w:r>
          </w:p>
          <w:p>
            <w:pPr>
              <w:pStyle w:val="03listetiret"/>
              <w:spacing w:lineRule="auto" w:line="240" w:before="0" w:after="0"/>
              <w:jc w:val="both"/>
              <w:rPr>
                <w:rFonts w:ascii="Marianne" w:hAnsi="Marianne"/>
                <w:sz w:val="21"/>
                <w:szCs w:val="21"/>
              </w:rPr>
            </w:pPr>
            <w:r>
              <w:rPr>
                <w:rFonts w:ascii="Marianne" w:hAnsi="Marianne"/>
                <w:sz w:val="21"/>
                <w:szCs w:val="21"/>
              </w:rPr>
            </w:r>
          </w:p>
          <w:p>
            <w:pPr>
              <w:pStyle w:val="03listetiret"/>
              <w:spacing w:lineRule="auto" w:line="240" w:before="0" w:after="0"/>
              <w:jc w:val="both"/>
              <w:rPr>
                <w:rFonts w:ascii="Marianne" w:hAnsi="Marianne"/>
                <w:sz w:val="21"/>
                <w:szCs w:val="21"/>
              </w:rPr>
            </w:pPr>
            <w:r>
              <w:rPr>
                <w:rFonts w:ascii="Marianne" w:hAnsi="Marianne"/>
                <w:sz w:val="21"/>
                <w:szCs w:val="21"/>
              </w:rPr>
            </w:r>
          </w:p>
          <w:p>
            <w:pPr>
              <w:pStyle w:val="03listetiret"/>
              <w:spacing w:lineRule="auto" w:line="240" w:before="0" w:after="0"/>
              <w:jc w:val="both"/>
              <w:rPr>
                <w:b w:val="false"/>
                <w:b w:val="false"/>
                <w:bCs w:val="false"/>
                <w:color w:val="CE181E"/>
              </w:rPr>
            </w:pPr>
            <w:r>
              <w:rPr>
                <w:b w:val="false"/>
                <w:bCs w:val="false"/>
                <w:color w:val="CE181E"/>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1"/>
        </w:numPr>
        <w:rPr>
          <w:sz w:val="44"/>
          <w:szCs w:val="44"/>
        </w:rPr>
      </w:pPr>
      <w:bookmarkStart w:id="15" w:name="__RefHeading___Toc2130_1346665625"/>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Les entreprises, artisans et commerçants, se sont désormais globalement bien approprié les différentes mesures proposées par le Plan de Relance pour les soutenir. L</w:t>
            </w:r>
            <w:r>
              <w:rPr>
                <w:rFonts w:eastAsia="Calibri" w:cs="Arial" w:ascii="Marianne" w:hAnsi="Marianne"/>
                <w:b w:val="false"/>
                <w:bCs/>
                <w:color w:val="169B62"/>
                <w:kern w:val="0"/>
                <w:sz w:val="21"/>
                <w:szCs w:val="21"/>
                <w:lang w:val="fr-FR" w:eastAsia="en-US" w:bidi="ar-SA"/>
              </w:rPr>
              <w:t>e « réseau des développeurs de la relance »,</w:t>
            </w:r>
            <w:r>
              <w:rPr>
                <w:rFonts w:eastAsia="Calibri" w:cs="" w:ascii="Marianne" w:hAnsi="Marianne" w:cstheme="minorBidi" w:eastAsiaTheme="minorHAnsi"/>
                <w:b w:val="false"/>
                <w:bCs w:val="false"/>
                <w:color w:val="auto"/>
                <w:sz w:val="20"/>
                <w:szCs w:val="20"/>
              </w:rPr>
              <w:t xml:space="preserve"> lancé par le préfet de la Moselle lors du comité de pilotage départemental qui s’est tenu fin janvier 2021, est désormais actif pour aider les entreprises qui hésiteraient encore à franchir le pas et à candidater. Il compte désormais 39 membres, tous particulièrement investis en faveur du tissu économique local.</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br/>
            </w:r>
            <w:r>
              <w:rPr>
                <w:rFonts w:eastAsia="Calibri" w:cs="Arial" w:ascii="Marianne" w:hAnsi="Marianne"/>
                <w:b w:val="false"/>
                <w:bCs/>
                <w:color w:val="169B62"/>
                <w:kern w:val="0"/>
                <w:sz w:val="21"/>
                <w:szCs w:val="21"/>
                <w:lang w:val="fr-FR" w:eastAsia="en-US" w:bidi="ar-SA"/>
              </w:rPr>
              <w:t>L’aide à la numérisation des TPE et PME, le dispositif « Territoires d’Industrie », ou encore la sécurisation des approvisionnements critiques</w:t>
            </w:r>
            <w:r>
              <w:rPr>
                <w:rFonts w:eastAsia="Calibri" w:cs="" w:ascii="Marianne" w:hAnsi="Marianne" w:cstheme="minorBidi" w:eastAsiaTheme="minorHAnsi"/>
                <w:b w:val="false"/>
                <w:bCs w:val="false"/>
                <w:color w:val="auto"/>
                <w:sz w:val="20"/>
                <w:szCs w:val="20"/>
              </w:rPr>
              <w:t xml:space="preserve"> a permis de soutenir de belles sociétés, soucieuses de se développer, de se moderniser, voire de (re)localiser en France, et singulièrement en Moselle, des productions jusqu’alors exclusivement fabriquées à l’étranger. </w:t>
            </w:r>
            <w:r>
              <w:rPr>
                <w:rFonts w:eastAsia="Calibri" w:cs="Arial" w:ascii="Marianne" w:hAnsi="Marianne"/>
                <w:b w:val="false"/>
                <w:bCs/>
                <w:color w:val="169B62"/>
                <w:kern w:val="0"/>
                <w:sz w:val="21"/>
                <w:szCs w:val="21"/>
                <w:lang w:val="fr-FR" w:eastAsia="en-US" w:bidi="ar-SA"/>
              </w:rPr>
              <w:t>France Relance, c’est ainsi un soutien substantiel à l’industrie</w:t>
            </w:r>
            <w:r>
              <w:rPr>
                <w:rFonts w:eastAsia="Calibri" w:cs="" w:ascii="Marianne" w:hAnsi="Marianne" w:cstheme="minorBidi" w:eastAsiaTheme="minorHAnsi"/>
                <w:b w:val="false"/>
                <w:bCs w:val="false"/>
                <w:color w:val="auto"/>
                <w:sz w:val="20"/>
                <w:szCs w:val="20"/>
              </w:rPr>
              <w:t xml:space="preserve"> : </w:t>
            </w:r>
            <w:r>
              <w:rPr>
                <w:rFonts w:eastAsia="Calibri" w:cs="" w:ascii="Marianne" w:hAnsi="Marianne" w:cstheme="minorBidi" w:eastAsiaTheme="minorHAnsi"/>
                <w:b w:val="false"/>
                <w:bCs w:val="false"/>
                <w:color w:val="auto"/>
                <w:kern w:val="0"/>
                <w:sz w:val="20"/>
                <w:szCs w:val="20"/>
                <w:lang w:val="fr-FR" w:eastAsia="en-US" w:bidi="ar-SA"/>
              </w:rPr>
              <w:t>la Moselle compte au 28 juin 2021, 81 lauréats, représentant</w:t>
            </w:r>
            <w:r>
              <w:rPr>
                <w:rFonts w:eastAsia="Calibri" w:cs="" w:ascii="Marianne" w:hAnsi="Marianne" w:cstheme="minorBidi" w:eastAsiaTheme="minorHAnsi"/>
                <w:b w:val="false"/>
                <w:bCs w:val="false"/>
                <w:color w:val="auto"/>
                <w:spacing w:val="-4"/>
                <w:kern w:val="0"/>
                <w:sz w:val="20"/>
                <w:szCs w:val="20"/>
                <w:lang w:val="fr-FR" w:eastAsia="en-US" w:bidi="ar-SA"/>
              </w:rPr>
              <w:t xml:space="preserve"> 50,5 M€ de subvention, soutenant plus de 220 M€ d'investissement. </w:t>
            </w: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Parmi ces 81 lauréats :</w:t>
            </w:r>
          </w:p>
          <w:p>
            <w:pPr>
              <w:pStyle w:val="Corpsdetexte"/>
              <w:numPr>
                <w:ilvl w:val="0"/>
                <w:numId w:val="27"/>
              </w:numPr>
              <w:bidi w:val="0"/>
              <w:spacing w:lineRule="auto" w:line="276" w:before="0" w:after="0"/>
              <w:jc w:val="both"/>
              <w:rPr/>
            </w:pP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11 lauréats pour l’AAP automobile</w:t>
            </w:r>
          </w:p>
          <w:p>
            <w:pPr>
              <w:pStyle w:val="Corpsdetexte"/>
              <w:numPr>
                <w:ilvl w:val="0"/>
                <w:numId w:val="27"/>
              </w:numPr>
              <w:bidi w:val="0"/>
              <w:spacing w:lineRule="auto" w:line="276" w:before="0" w:after="0"/>
              <w:jc w:val="both"/>
              <w:rPr/>
            </w:pP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4 pour l’AAP aéronautique</w:t>
            </w:r>
          </w:p>
          <w:p>
            <w:pPr>
              <w:pStyle w:val="Corpsdetexte"/>
              <w:numPr>
                <w:ilvl w:val="0"/>
                <w:numId w:val="27"/>
              </w:numPr>
              <w:bidi w:val="0"/>
              <w:spacing w:lineRule="auto" w:line="276" w:before="0" w:after="0"/>
              <w:jc w:val="both"/>
              <w:rPr/>
            </w:pP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6 pour l’AAP reloc intrants (4 reloc intrants, 1 reloc santé et 1 reloc 5G)</w:t>
            </w:r>
          </w:p>
          <w:p>
            <w:pPr>
              <w:pStyle w:val="Corpsdetexte"/>
              <w:numPr>
                <w:ilvl w:val="0"/>
                <w:numId w:val="27"/>
              </w:numPr>
              <w:bidi w:val="0"/>
              <w:spacing w:lineRule="auto" w:line="276" w:before="0" w:after="0"/>
              <w:jc w:val="both"/>
              <w:rPr/>
            </w:pP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 xml:space="preserve">10 pour le fond territoires d’industrie </w:t>
            </w:r>
          </w:p>
          <w:p>
            <w:pPr>
              <w:pStyle w:val="Contenudecadre"/>
              <w:numPr>
                <w:ilvl w:val="0"/>
                <w:numId w:val="27"/>
              </w:numPr>
              <w:overflowPunct w:val="true"/>
              <w:spacing w:lineRule="auto" w:line="240" w:before="0" w:after="0"/>
              <w:jc w:val="both"/>
              <w:rPr/>
            </w:pP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50 lauréats pour le guichet industrie du futur.</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France Relance renforce également la compétitivité du territoire, avec une baisse des impôts de production de 123,4 millions d’euros concernant près de 8 780 entreprises du département.</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 bloc "compétitivité" de France Relance c'est également </w:t>
            </w:r>
            <w:r>
              <w:rPr>
                <w:rFonts w:eastAsia="Calibri" w:cs="Arial" w:ascii="Marianne" w:hAnsi="Marianne"/>
                <w:b w:val="false"/>
                <w:bCs/>
                <w:color w:val="169B62"/>
                <w:kern w:val="0"/>
                <w:sz w:val="21"/>
                <w:szCs w:val="21"/>
                <w:lang w:val="fr-FR" w:eastAsia="en-US" w:bidi="ar-SA"/>
              </w:rPr>
              <w:t>l'accompagnement des entreprises de Moselle à l’export</w:t>
            </w:r>
            <w:r>
              <w:rPr>
                <w:rFonts w:eastAsia="Calibri" w:cs="" w:ascii="Marianne" w:hAnsi="Marianne" w:cstheme="minorBidi" w:eastAsiaTheme="minorHAnsi"/>
                <w:b w:val="false"/>
                <w:bCs w:val="false"/>
                <w:color w:val="auto"/>
                <w:sz w:val="20"/>
                <w:szCs w:val="20"/>
              </w:rPr>
              <w:t xml:space="preserve">, via la  Team France Export, qui a déjà permis d'accompagner 45 entreprises mosellanes dans leur déploiement à l'international.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6" w:name="__RefHeading___Toc2132_1346665625"/>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Grand Est</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1875"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tableau"/>
              <w:spacing w:lineRule="auto" w:line="240" w:before="0" w:after="160"/>
              <w:jc w:val="both"/>
              <w:rPr/>
            </w:pPr>
            <w:r>
              <w:rPr>
                <w:rFonts w:eastAsia="Calibri" w:cs="Arial" w:ascii="Marianne" w:hAnsi="Marianne"/>
                <w:b w:val="false"/>
                <w:bCs/>
                <w:color w:val="169B62"/>
                <w:kern w:val="0"/>
                <w:sz w:val="21"/>
                <w:szCs w:val="21"/>
                <w:lang w:val="fr-FR" w:eastAsia="en-US" w:bidi="ar-SA"/>
              </w:rPr>
              <w:t>10 entreprises mosellanes sont d'ores et déjà lauréates soutenues par l’État au titre du fonds "territoire d'industrie"</w:t>
            </w:r>
            <w:r>
              <w:rPr>
                <w:rFonts w:eastAsia="Calibri" w:cs="" w:ascii="Marianne" w:hAnsi="Marianne" w:cstheme="minorBidi" w:eastAsiaTheme="minorHAnsi"/>
                <w:b w:val="false"/>
                <w:bCs w:val="false"/>
                <w:color w:val="auto"/>
                <w:sz w:val="20"/>
                <w:szCs w:val="20"/>
              </w:rPr>
              <w:t>:  </w:t>
            </w:r>
            <w:r>
              <w:rPr>
                <w:rFonts w:eastAsia="Calibri" w:cs="" w:ascii="Marianne" w:hAnsi="Marianne" w:cstheme="minorBidi" w:eastAsiaTheme="minorHAnsi"/>
                <w:b w:val="false"/>
                <w:bCs w:val="false"/>
                <w:color w:val="auto"/>
                <w:sz w:val="21"/>
                <w:szCs w:val="21"/>
              </w:rPr>
              <w:t xml:space="preserve">Aforest à Metz, Alizé Group à Behren-les-Forbach, Les Bronzes d’Industrie à Amnéville, Utilis SA à Ennery, Semin à Kédange-sur-Canner, Laboratoires Juva Productions à Behren-les-Forbach, Cuisines Grandidier à Lemud, Flamm Top à Sarrebourg, Verrissima Group à </w:t>
            </w:r>
            <w:r>
              <w:rPr>
                <w:rFonts w:eastAsia="Calibri" w:cs="" w:ascii="Marianne" w:hAnsi="Marianne" w:cstheme="minorBidi" w:eastAsiaTheme="minorHAnsi"/>
                <w:color w:val="auto"/>
                <w:sz w:val="21"/>
                <w:szCs w:val="21"/>
              </w:rPr>
              <w:t xml:space="preserve">Goetzenbruck </w:t>
            </w:r>
            <w:r>
              <w:rPr>
                <w:rFonts w:eastAsia="Calibri" w:cs="" w:ascii="Marianne" w:hAnsi="Marianne" w:cstheme="minorBidi" w:eastAsiaTheme="minorHAnsi"/>
                <w:b w:val="false"/>
                <w:bCs w:val="false"/>
                <w:color w:val="auto"/>
                <w:sz w:val="21"/>
                <w:szCs w:val="21"/>
              </w:rPr>
              <w:t>et Sunpower Manufacturing de Vernejoul à Porcelette.</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18" w:name="__RefHeading___Toc2134_1346665625"/>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Grand Est</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before="0" w:after="0"/>
              <w:rPr/>
            </w:pPr>
            <w:r>
              <w:rPr>
                <w:rFonts w:ascii="Marianne" w:hAnsi="Marianne"/>
                <w:b/>
                <w:bCs/>
                <w:sz w:val="20"/>
                <w:szCs w:val="20"/>
              </w:rPr>
              <w:t xml:space="preserve"> </w:t>
            </w:r>
            <w:r>
              <w:rPr>
                <w:rFonts w:ascii="Marianne" w:hAnsi="Marianne"/>
                <w:b/>
                <w:bCs/>
                <w:sz w:val="20"/>
                <w:szCs w:val="20"/>
              </w:rPr>
              <w:t>Exemples de lauréats :</w:t>
            </w:r>
          </w:p>
          <w:p>
            <w:pPr>
              <w:pStyle w:val="Contenudetableau"/>
              <w:spacing w:lineRule="auto" w:line="240" w:before="0" w:after="0"/>
              <w:rPr/>
            </w:pPr>
            <w:r>
              <w:rPr>
                <w:rFonts w:eastAsia="Calibri" w:cs="Arial" w:ascii="Marianne" w:hAnsi="Marianne"/>
                <w:b w:val="false"/>
                <w:bCs/>
                <w:color w:val="169B62"/>
                <w:kern w:val="0"/>
                <w:sz w:val="21"/>
                <w:szCs w:val="21"/>
                <w:lang w:val="fr-FR" w:eastAsia="en-US" w:bidi="ar-SA"/>
              </w:rPr>
              <w:t>Parmi les 6 entreprises mosellanes disposant d’une forte capacité d’ingénierie et d’innovation lauréates de cet appel à projet</w:t>
            </w:r>
            <w:r>
              <w:rPr>
                <w:rFonts w:eastAsia="Calibri" w:cs="" w:ascii="Marianne" w:hAnsi="Marianne" w:cstheme="minorBidi" w:eastAsiaTheme="minorHAnsi"/>
                <w:b w:val="false"/>
                <w:bCs w:val="false"/>
                <w:color w:val="auto"/>
                <w:sz w:val="20"/>
                <w:szCs w:val="20"/>
              </w:rPr>
              <w:t>, il est possible de citer :</w:t>
            </w:r>
          </w:p>
          <w:p>
            <w:pPr>
              <w:pStyle w:val="Contenudecadre"/>
              <w:numPr>
                <w:ilvl w:val="0"/>
                <w:numId w:val="28"/>
              </w:numPr>
              <w:overflowPunct w:val="false"/>
              <w:spacing w:lineRule="auto" w:line="240" w:before="0" w:after="0"/>
              <w:jc w:val="both"/>
              <w:rPr/>
            </w:pPr>
            <w:r>
              <w:rPr>
                <w:rFonts w:eastAsia="Calibri" w:cs="Arial" w:ascii="Marianne" w:hAnsi="Marianne"/>
                <w:b w:val="false"/>
                <w:bCs/>
                <w:color w:val="169B62"/>
                <w:kern w:val="0"/>
                <w:sz w:val="21"/>
                <w:szCs w:val="21"/>
                <w:lang w:val="fr-FR" w:eastAsia="en-US" w:bidi="ar-SA"/>
              </w:rPr>
              <w:t>45-8 ENERGIE</w:t>
            </w:r>
            <w:r>
              <w:rPr>
                <w:rFonts w:eastAsia="Calibri" w:cs="" w:ascii="Marianne" w:hAnsi="Marianne" w:cstheme="minorBidi" w:eastAsiaTheme="minorHAnsi"/>
                <w:b w:val="false"/>
                <w:bCs w:val="false"/>
                <w:color w:val="auto"/>
                <w:sz w:val="20"/>
                <w:szCs w:val="20"/>
              </w:rPr>
              <w:t>, basée à Metz, entreprise soutenue pour la mise en œuvre d’un procédé membranaire pour le traitement de l’hélium. Son objectif est de satisfaire de manière éco-engagée la demande en hélium du marché ouest-européen grâce à une approche géologique nouvelle et à des innovations technologiques fortes.</w:t>
            </w:r>
          </w:p>
          <w:p>
            <w:pPr>
              <w:pStyle w:val="Contenudecadre"/>
              <w:numPr>
                <w:ilvl w:val="0"/>
                <w:numId w:val="28"/>
              </w:numPr>
              <w:overflowPunct w:val="false"/>
              <w:spacing w:lineRule="auto" w:line="240" w:before="0" w:after="0"/>
              <w:jc w:val="both"/>
              <w:rPr/>
            </w:pPr>
            <w:r>
              <w:rPr>
                <w:rFonts w:eastAsia="Calibri" w:cs="" w:ascii="Marianne" w:hAnsi="Marianne" w:cstheme="minorBidi" w:eastAsiaTheme="minorHAnsi"/>
                <w:b w:val="false"/>
                <w:bCs w:val="false"/>
                <w:i w:val="false"/>
                <w:strike w:val="false"/>
                <w:dstrike w:val="false"/>
                <w:outline w:val="false"/>
                <w:shadow w:val="false"/>
                <w:color w:val="auto"/>
                <w:kern w:val="0"/>
                <w:sz w:val="20"/>
                <w:szCs w:val="20"/>
                <w:u w:val="none"/>
                <w:em w:val="none"/>
                <w:lang w:val="fr-FR" w:eastAsia="en-US" w:bidi="ar-SA"/>
              </w:rPr>
              <w:t xml:space="preserve">Le </w:t>
            </w:r>
            <w:r>
              <w:rPr>
                <w:rFonts w:eastAsia="Calibri" w:cs="Arial" w:ascii="Marianne" w:hAnsi="Marianne"/>
                <w:b w:val="false"/>
                <w:bCs/>
                <w:i w:val="false"/>
                <w:strike w:val="false"/>
                <w:dstrike w:val="false"/>
                <w:outline w:val="false"/>
                <w:shadow w:val="false"/>
                <w:color w:val="169B62"/>
                <w:kern w:val="0"/>
                <w:sz w:val="21"/>
                <w:szCs w:val="21"/>
                <w:u w:val="none"/>
                <w:em w:val="none"/>
                <w:lang w:val="fr-FR" w:eastAsia="en-US" w:bidi="ar-SA"/>
              </w:rPr>
              <w:t>projet COV2DIAG</w:t>
            </w:r>
            <w:r>
              <w:rPr>
                <w:rFonts w:eastAsia="Calibri" w:cs="" w:ascii="Marianne" w:hAnsi="Marianne" w:cstheme="minorBidi" w:eastAsiaTheme="minorHAnsi"/>
                <w:b w:val="false"/>
                <w:bCs w:val="false"/>
                <w:i w:val="false"/>
                <w:strike w:val="false"/>
                <w:dstrike w:val="false"/>
                <w:outline w:val="false"/>
                <w:shadow w:val="false"/>
                <w:color w:val="auto"/>
                <w:kern w:val="0"/>
                <w:sz w:val="20"/>
                <w:szCs w:val="20"/>
                <w:u w:val="none"/>
                <w:em w:val="none"/>
                <w:lang w:val="fr-FR" w:eastAsia="en-US" w:bidi="ar-SA"/>
              </w:rPr>
              <w:t>, porté par Advanced Biological Laboratories France, également basée à Metz, vise à développer la fabrication de trousses de diagnostic moléculaire pour la détection du SARS-CoV-2 et de tous les agents infectieux responsables de la grippe notamment. Le projet vise aussi à implémenter de nouvelles lignes de production permettant d’assurer une centralisation de l’ensemble de la chaîne de fabrication afin limiter au maximum les besoins envers des fournisseurs hors-Europe.</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0" w:name="__RefHeading___Toc2136_1346665625"/>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544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444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329 (17%)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Grand Est</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3 473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2 720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1 949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both"/>
              <w:rPr/>
            </w:pPr>
            <w:r>
              <w:rPr>
                <w:rFonts w:eastAsia="Calibri" w:cs="" w:ascii="Marianne" w:hAnsi="Marianne" w:cstheme="minorBidi" w:eastAsiaTheme="minorHAnsi"/>
                <w:b w:val="false"/>
                <w:bCs w:val="false"/>
                <w:color w:val="auto"/>
                <w:sz w:val="20"/>
                <w:szCs w:val="20"/>
              </w:rPr>
              <w:t xml:space="preserve">Avec le concours de la chambre de métiers et de l’artisanat mosellane, de </w:t>
            </w:r>
            <w:r>
              <w:rPr>
                <w:rFonts w:eastAsia="Calibri" w:cs="Arial" w:ascii="Marianne" w:hAnsi="Marianne"/>
                <w:b w:val="false"/>
                <w:bCs/>
                <w:color w:val="169B62"/>
                <w:kern w:val="0"/>
                <w:sz w:val="21"/>
                <w:szCs w:val="21"/>
                <w:lang w:val="fr-FR" w:eastAsia="en-US" w:bidi="ar-SA"/>
              </w:rPr>
              <w:t>nombreux diagnostics numériques ont été réalisés</w:t>
            </w:r>
            <w:r>
              <w:rPr>
                <w:rFonts w:eastAsia="Calibri" w:cs="" w:ascii="Marianne" w:hAnsi="Marianne" w:cstheme="minorBidi" w:eastAsiaTheme="minorHAnsi"/>
                <w:b w:val="false"/>
                <w:bCs w:val="false"/>
                <w:color w:val="auto"/>
                <w:sz w:val="20"/>
                <w:szCs w:val="20"/>
              </w:rPr>
              <w:t xml:space="preserve"> dans des entreprises artisanales aux activités très variées (services, automobile, soins de la personne, production, alimentation ou bâtiment).</w:t>
            </w:r>
          </w:p>
          <w:p>
            <w:pPr>
              <w:pStyle w:val="Contenudecadre"/>
              <w:overflowPunct w:val="fals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false"/>
              <w:spacing w:lineRule="auto" w:line="240" w:before="0" w:after="0"/>
              <w:jc w:val="both"/>
              <w:rPr/>
            </w:pPr>
            <w:r>
              <w:rPr>
                <w:rFonts w:eastAsia="Calibri" w:cs="" w:ascii="Marianne" w:hAnsi="Marianne" w:cstheme="minorBidi" w:eastAsiaTheme="minorHAnsi"/>
                <w:b w:val="false"/>
                <w:bCs w:val="false"/>
                <w:color w:val="auto"/>
                <w:kern w:val="0"/>
                <w:sz w:val="20"/>
                <w:szCs w:val="20"/>
                <w:lang w:val="fr-FR" w:eastAsia="en-US" w:bidi="ar-SA"/>
              </w:rPr>
              <w:t xml:space="preserve">La Moselle compte par ailleurs </w:t>
            </w:r>
            <w:r>
              <w:rPr>
                <w:rFonts w:eastAsia="Calibri" w:cs="Arial" w:ascii="Marianne" w:hAnsi="Marianne"/>
                <w:b w:val="false"/>
                <w:bCs/>
                <w:color w:val="169B62"/>
                <w:kern w:val="0"/>
                <w:sz w:val="21"/>
                <w:szCs w:val="21"/>
                <w:lang w:val="fr-FR" w:eastAsia="en-US" w:bidi="ar-SA"/>
              </w:rPr>
              <w:t>p</w:t>
            </w:r>
            <w:r>
              <w:rPr>
                <w:rStyle w:val="Textenonproportionnel"/>
                <w:rFonts w:eastAsia="Calibri" w:cs="Arial" w:ascii="Marianne" w:hAnsi="Marianne"/>
                <w:b w:val="false"/>
                <w:bCs/>
                <w:i w:val="false"/>
                <w:iCs w:val="false"/>
                <w:caps w:val="false"/>
                <w:smallCaps w:val="false"/>
                <w:color w:val="169B62"/>
                <w:spacing w:val="-4"/>
                <w:kern w:val="0"/>
                <w:position w:val="0"/>
                <w:sz w:val="21"/>
                <w:sz w:val="21"/>
                <w:szCs w:val="21"/>
                <w:u w:val="none"/>
                <w:vertAlign w:val="baseline"/>
                <w:lang w:val="fr-FR" w:eastAsia="en-US" w:bidi="ar-SA"/>
              </w:rPr>
              <w:t>lus de 350 entreprises bénéficiaires du « chèque France Num »</w:t>
            </w:r>
            <w:r>
              <w:rPr>
                <w:rStyle w:val="Textenonproportionnel"/>
                <w:rFonts w:eastAsia="Calibri" w:cs="" w:ascii="Marianne" w:hAnsi="Marianne" w:cstheme="minorBidi" w:eastAsiaTheme="minorHAnsi"/>
                <w:b w:val="false"/>
                <w:bCs w:val="false"/>
                <w:i w:val="false"/>
                <w:iCs w:val="false"/>
                <w:caps w:val="false"/>
                <w:smallCaps w:val="false"/>
                <w:color w:val="auto"/>
                <w:spacing w:val="-4"/>
                <w:kern w:val="0"/>
                <w:position w:val="0"/>
                <w:sz w:val="20"/>
                <w:sz w:val="20"/>
                <w:szCs w:val="20"/>
                <w:u w:val="none"/>
                <w:vertAlign w:val="baseline"/>
                <w:lang w:val="fr-FR" w:eastAsia="en-US" w:bidi="ar-SA"/>
              </w:rPr>
              <w:t> , remboursement forfaitaire de 500 € pour couvrir tout ou partie des dépenses pour de numérisation supportées par les entreprises. Les entreprises lauréates de ce dispositif sont des PME aux activités diverses, à l'instar de la librairie "la Pensée Sauvage" à Metz, le salon de coiffure "Amelio" à Rozérieulles, ou le restaurant libanais "Diwan" à Thionville.</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2" w:name="__RefHeading___Toc2138_1346665625"/>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Grand Est</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121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 (3%)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4" w:name="__RefHeading___Toc2140_1346665625"/>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Grand Est</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before="0" w:after="160"/>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tc>
      </w:tr>
    </w:tbl>
    <w:p>
      <w:pPr>
        <w:pStyle w:val="Customstyle2"/>
        <w:rPr/>
      </w:pPr>
      <w:r>
        <w:rPr/>
      </w:r>
      <w:r>
        <w:br w:type="page"/>
      </w:r>
    </w:p>
    <w:p>
      <w:pPr>
        <w:pStyle w:val="Titre3"/>
        <w:numPr>
          <w:ilvl w:val="2"/>
          <w:numId w:val="17"/>
        </w:numPr>
        <w:spacing w:lineRule="auto" w:line="240" w:before="140" w:after="120"/>
        <w:jc w:val="center"/>
        <w:rPr>
          <w:rFonts w:ascii="Marianne" w:hAnsi="Marianne"/>
          <w:sz w:val="24"/>
          <w:szCs w:val="24"/>
        </w:rPr>
      </w:pPr>
      <w:bookmarkStart w:id="26" w:name="__RefHeading___Toc2142_1346665625"/>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Grand Est</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262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243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8"/>
        </w:numPr>
        <w:rPr>
          <w:sz w:val="44"/>
          <w:szCs w:val="44"/>
        </w:rPr>
      </w:pPr>
      <w:bookmarkStart w:id="28" w:name="__RefHeading___Toc2144_1346665625"/>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02inter2"/>
              <w:spacing w:lineRule="auto" w:line="240" w:before="0" w:after="0"/>
              <w:jc w:val="both"/>
              <w:rPr/>
            </w:pPr>
            <w:r>
              <w:rPr>
                <w:rFonts w:ascii="Marianne" w:hAnsi="Marianne"/>
                <w:sz w:val="21"/>
                <w:szCs w:val="21"/>
              </w:rPr>
              <w:t xml:space="preserve">France Relance confirme les perspectives aux jeunes mosellans grâce au </w:t>
            </w:r>
            <w:r>
              <w:rPr>
                <w:rFonts w:ascii="Marianne" w:hAnsi="Marianne"/>
                <w:color w:val="339966"/>
                <w:sz w:val="21"/>
                <w:szCs w:val="21"/>
              </w:rPr>
              <w:t>plan « 1 jeune,                    1 solution » :</w:t>
            </w:r>
            <w:r>
              <w:rPr>
                <w:rFonts w:ascii="Marianne" w:hAnsi="Marianne"/>
                <w:color w:val="008000"/>
                <w:sz w:val="21"/>
                <w:szCs w:val="21"/>
              </w:rPr>
              <w:t xml:space="preserve"> </w:t>
            </w:r>
            <w:r>
              <w:rPr>
                <w:rFonts w:ascii="Marianne" w:hAnsi="Marianne"/>
                <w:color w:val="auto"/>
                <w:sz w:val="21"/>
                <w:szCs w:val="21"/>
              </w:rPr>
              <w:t>plus de 15</w:t>
            </w:r>
            <w:r>
              <w:rPr>
                <w:rFonts w:ascii="Marianne" w:hAnsi="Marianne"/>
                <w:color w:val="FF0000"/>
                <w:sz w:val="21"/>
                <w:szCs w:val="21"/>
              </w:rPr>
              <w:t> </w:t>
            </w:r>
            <w:r>
              <w:rPr>
                <w:rFonts w:ascii="Marianne" w:hAnsi="Marianne"/>
                <w:color w:val="auto"/>
                <w:sz w:val="21"/>
                <w:szCs w:val="21"/>
              </w:rPr>
              <w:t>000 jeunes ont bénéficié de ce plan depuis sa mise en œuvre.</w:t>
            </w:r>
          </w:p>
          <w:p>
            <w:pPr>
              <w:pStyle w:val="02inter2"/>
              <w:spacing w:lineRule="auto" w:line="240" w:before="0" w:after="0"/>
              <w:jc w:val="both"/>
              <w:rPr>
                <w:rFonts w:ascii="Marianne" w:hAnsi="Marianne"/>
                <w:color w:val="auto"/>
                <w:sz w:val="21"/>
                <w:szCs w:val="21"/>
              </w:rPr>
            </w:pPr>
            <w:r>
              <w:rPr>
                <w:rFonts w:ascii="Marianne" w:hAnsi="Marianne"/>
                <w:color w:val="auto"/>
                <w:sz w:val="21"/>
                <w:szCs w:val="21"/>
              </w:rPr>
            </w:r>
          </w:p>
          <w:p>
            <w:pPr>
              <w:pStyle w:val="02inter2"/>
              <w:spacing w:lineRule="auto" w:line="240" w:before="0" w:after="0"/>
              <w:jc w:val="both"/>
              <w:rPr/>
            </w:pPr>
            <w:r>
              <w:rPr>
                <w:rFonts w:ascii="Marianne" w:hAnsi="Marianne"/>
                <w:color w:val="auto"/>
                <w:sz w:val="21"/>
                <w:szCs w:val="21"/>
              </w:rPr>
              <w:t>Les parcours, profils et aspirations des jeunes accompagnés sont très divers, comme en témoignent les exemples suivants :</w:t>
            </w:r>
          </w:p>
          <w:p>
            <w:pPr>
              <w:pStyle w:val="02inter2"/>
              <w:numPr>
                <w:ilvl w:val="0"/>
                <w:numId w:val="29"/>
              </w:numPr>
              <w:spacing w:lineRule="auto" w:line="240" w:before="0" w:after="0"/>
              <w:jc w:val="both"/>
              <w:rPr/>
            </w:pPr>
            <w:r>
              <w:rPr>
                <w:rFonts w:ascii="Marianne" w:hAnsi="Marianne"/>
                <w:color w:val="auto"/>
                <w:sz w:val="21"/>
                <w:szCs w:val="21"/>
              </w:rPr>
              <w:t>Thomas Metzinger, jeune homme de 23 ans, vivant à Spicheren, signataire d'un CIE jeune qui débute un apprentissage en maçonnerie, avec in fine l'objectif de reprendre l’entreprise familiale ;</w:t>
            </w:r>
          </w:p>
          <w:p>
            <w:pPr>
              <w:pStyle w:val="02inter2"/>
              <w:numPr>
                <w:ilvl w:val="0"/>
                <w:numId w:val="29"/>
              </w:numPr>
              <w:spacing w:lineRule="auto" w:line="240" w:before="0" w:after="0"/>
              <w:jc w:val="both"/>
              <w:rPr/>
            </w:pPr>
            <w:r>
              <w:rPr>
                <w:rFonts w:ascii="Marianne" w:hAnsi="Marianne"/>
                <w:color w:val="auto"/>
                <w:sz w:val="21"/>
                <w:szCs w:val="21"/>
              </w:rPr>
              <w:t>Marie, jeune femme 24 ans, recrutée en PEC jeune pour 18 mois par la commune de Folkling, et qui poursuit l'objectif de travailler sur des sujets transfrontaliers pour mettre à profit sa connaissance de l'allemand ;</w:t>
            </w:r>
          </w:p>
          <w:p>
            <w:pPr>
              <w:pStyle w:val="02inter2"/>
              <w:numPr>
                <w:ilvl w:val="0"/>
                <w:numId w:val="29"/>
              </w:numPr>
              <w:spacing w:lineRule="auto" w:line="240" w:before="0" w:after="0"/>
              <w:jc w:val="both"/>
              <w:rPr/>
            </w:pPr>
            <w:r>
              <w:rPr>
                <w:rFonts w:ascii="Marianne" w:hAnsi="Marianne"/>
                <w:color w:val="auto"/>
                <w:sz w:val="21"/>
                <w:szCs w:val="21"/>
              </w:rPr>
              <w:t>Priscillia, également recrutée en PEC jeune, mais par la commune d'Ippling, qui va pouvoir se former au métier de la petite enfance, premier pas pour embrasser son envie de devenir éducatrice.</w:t>
            </w:r>
          </w:p>
          <w:p>
            <w:pPr>
              <w:pStyle w:val="02inter2"/>
              <w:numPr>
                <w:ilvl w:val="0"/>
                <w:numId w:val="0"/>
              </w:numPr>
              <w:spacing w:lineRule="auto" w:line="240" w:before="0" w:after="0"/>
              <w:ind w:left="720" w:hanging="0"/>
              <w:jc w:val="both"/>
              <w:rPr>
                <w:rFonts w:ascii="Marianne" w:hAnsi="Marianne"/>
                <w:color w:val="auto"/>
                <w:sz w:val="21"/>
                <w:szCs w:val="21"/>
              </w:rPr>
            </w:pPr>
            <w:r>
              <w:rPr>
                <w:rFonts w:ascii="Marianne" w:hAnsi="Marianne"/>
                <w:color w:val="auto"/>
                <w:sz w:val="21"/>
                <w:szCs w:val="21"/>
              </w:rPr>
            </w:r>
          </w:p>
          <w:p>
            <w:pPr>
              <w:pStyle w:val="02inter2"/>
              <w:spacing w:lineRule="auto" w:line="240" w:before="0" w:after="0"/>
              <w:jc w:val="both"/>
              <w:rPr/>
            </w:pPr>
            <w:r>
              <w:rPr>
                <w:rFonts w:ascii="Marianne" w:hAnsi="Marianne"/>
                <w:sz w:val="21"/>
                <w:szCs w:val="21"/>
              </w:rPr>
              <w:t xml:space="preserve">France Relance témoigne aussi d’un substantiel engagement de l’État aux côtés des communes mosellanes dans leurs projets d’investissement local : </w:t>
            </w:r>
            <w:r>
              <w:rPr>
                <w:rFonts w:ascii="Marianne" w:hAnsi="Marianne"/>
                <w:color w:val="000000"/>
                <w:sz w:val="21"/>
                <w:szCs w:val="21"/>
              </w:rPr>
              <w:t>sur une enveloppe dédiée de près de 15 millions d’euros (2020-2021), mise en place dès l’été 2020 au titre de la DSIL relance, 143 dossiers ont pu être financés (85 en 2020 et 58 en 2021) pour la totalité de l’enveloppe</w:t>
            </w:r>
            <w:r>
              <w:rPr>
                <w:rFonts w:ascii="Marianne" w:hAnsi="Marianne"/>
                <w:color w:val="000000"/>
                <w:sz w:val="21"/>
                <w:szCs w:val="21"/>
              </w:rPr>
              <w:t>.</w:t>
            </w:r>
          </w:p>
          <w:p>
            <w:pPr>
              <w:pStyle w:val="02inter2"/>
              <w:overflowPunct w:val="true"/>
              <w:spacing w:lineRule="auto" w:line="240" w:before="0" w:after="0"/>
              <w:jc w:val="both"/>
              <w:rPr>
                <w:color w:val="000000"/>
              </w:rPr>
            </w:pPr>
            <w:r>
              <w:rPr>
                <w:rFonts w:eastAsia="Calibri" w:cs="" w:ascii="Marianne" w:hAnsi="Marianne"/>
                <w:b w:val="false"/>
                <w:bCs w:val="false"/>
                <w:color w:val="000000"/>
                <w:sz w:val="21"/>
                <w:szCs w:val="21"/>
              </w:rPr>
              <w:t xml:space="preserve">En 2021, une nouvelle enveloppe, dédiée à la rénovation thermique des bâtiments des collectivités territoriale, a été  créée. En Moselle, 10,5 M€ de subvention ont ainsi pu être alloués à 109 dossiers, qui généreront plus de 18,3M€ de travaux. </w:t>
            </w:r>
          </w:p>
          <w:p>
            <w:pPr>
              <w:pStyle w:val="Normal"/>
              <w:overflowPunct w:val="true"/>
              <w:spacing w:lineRule="auto" w:line="240" w:before="0" w:after="0"/>
              <w:jc w:val="both"/>
              <w:rPr>
                <w:rFonts w:ascii="Marianne" w:hAnsi="Marianne"/>
                <w:b w:val="false"/>
                <w:b w:val="false"/>
                <w:bCs w:val="false"/>
                <w:i w:val="false"/>
                <w:i w:val="false"/>
                <w:iCs w:val="false"/>
                <w:color w:val="000000"/>
                <w:sz w:val="28"/>
                <w:szCs w:val="28"/>
              </w:rPr>
            </w:pPr>
            <w:r>
              <w:rPr>
                <w:rFonts w:eastAsia="Calibri" w:cs="" w:ascii="Marianne" w:hAnsi="Marianne"/>
                <w:b w:val="false"/>
                <w:bCs w:val="false"/>
                <w:i w:val="false"/>
                <w:iCs w:val="false"/>
                <w:color w:val="000000"/>
                <w:sz w:val="21"/>
                <w:szCs w:val="21"/>
                <w:lang w:val="zxx"/>
              </w:rPr>
              <w:t xml:space="preserve">Au total, en ajoutant la </w:t>
            </w:r>
            <w:r>
              <w:rPr>
                <w:rFonts w:eastAsia="Calibri" w:cs="" w:ascii="Marianne" w:hAnsi="Marianne"/>
                <w:b w:val="false"/>
                <w:bCs w:val="false"/>
                <w:i w:val="false"/>
                <w:iCs w:val="false"/>
                <w:color w:val="000000"/>
                <w:sz w:val="21"/>
                <w:szCs w:val="21"/>
                <w:lang w:val="zxx"/>
              </w:rPr>
              <w:t xml:space="preserve">DSIL classique, la </w:t>
            </w:r>
            <w:r>
              <w:rPr>
                <w:rFonts w:eastAsia="Calibri" w:cs="" w:ascii="Marianne" w:hAnsi="Marianne"/>
                <w:b w:val="false"/>
                <w:bCs w:val="false"/>
                <w:i w:val="false"/>
                <w:iCs w:val="false"/>
                <w:color w:val="000000"/>
                <w:sz w:val="21"/>
                <w:szCs w:val="21"/>
                <w:lang w:val="zxx"/>
              </w:rPr>
              <w:t xml:space="preserve">DETR, la DSID, le FNADT et la DPV, c'est ainsi près de  </w:t>
            </w:r>
            <w:r>
              <w:rPr>
                <w:rFonts w:eastAsia="Calibri" w:cs="" w:ascii="Marianne" w:hAnsi="Marianne"/>
                <w:b/>
                <w:bCs/>
                <w:i w:val="false"/>
                <w:iCs w:val="false"/>
                <w:color w:val="000000"/>
                <w:sz w:val="21"/>
                <w:szCs w:val="21"/>
                <w:lang w:val="zxx"/>
              </w:rPr>
              <w:t>48 M€ attribués sur la seule année 2021 en faveur de l’investissement des collectivités</w:t>
            </w:r>
            <w:r>
              <w:rPr>
                <w:rFonts w:eastAsia="Calibri" w:cs="" w:ascii="Marianne" w:hAnsi="Marianne"/>
                <w:b w:val="false"/>
                <w:bCs w:val="false"/>
                <w:i w:val="false"/>
                <w:iCs w:val="false"/>
                <w:color w:val="000000"/>
                <w:sz w:val="21"/>
                <w:szCs w:val="21"/>
                <w:lang w:val="zxx"/>
              </w:rPr>
              <w:t xml:space="preserve">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29" w:name="__RefHeading___Toc2146_1346665625"/>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5 008 (16%)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4 731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4 347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Grand Est</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32 226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30 719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28 680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1" w:name="__RefHeading___Toc2148_1346665625"/>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441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358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290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Grand Est</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1 548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1 161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3" w:name="__RefHeading___Toc2150_1346665625"/>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551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476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410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Grand Est</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2 880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2 548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2 314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5" w:name="__RefHeading___Toc2152_1346665625"/>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1 327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1 104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915 (21%)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Grand Est</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6 597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5 229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4 298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7" w:name="__RefHeading___Toc2154_1346665625"/>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286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240 (20%)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203 (21%)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Grand Est</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1 442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1 220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983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39" w:name="__RefHeading___Toc2156_1346665625"/>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4 953 (18%)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4 135 (17%)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3 481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Grand Est</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28 122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23 995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21 356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1" w:name="__RefHeading___Toc2158_1346665625"/>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125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82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Grand Est</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847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692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585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6"/>
        </w:numPr>
        <w:spacing w:lineRule="auto" w:line="240" w:before="140" w:after="120"/>
        <w:jc w:val="center"/>
        <w:rPr>
          <w:rFonts w:ascii="Marianne" w:hAnsi="Marianne"/>
          <w:sz w:val="24"/>
          <w:szCs w:val="24"/>
        </w:rPr>
      </w:pPr>
      <w:bookmarkStart w:id="43" w:name="__RefHeading___Toc2160_1346665625"/>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Moselle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849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849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783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Grand Est</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6 253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6 253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5 746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66" y="0"/>
              <wp:lineTo x="-666" y="20644"/>
              <wp:lineTo x="20537" y="20644"/>
              <wp:lineTo x="20537" y="0"/>
              <wp:lineTo x="-666"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34" y="0"/>
              <wp:lineTo x="-1334" y="19191"/>
              <wp:lineTo x="20013" y="19191"/>
              <wp:lineTo x="20013" y="0"/>
              <wp:lineTo x="-1334"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80"/>
  <w:defaultTabStop w:val="28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character" w:styleId="Puces">
    <w:name w:val="Puces"/>
    <w:qFormat/>
    <w:rPr>
      <w:rFonts w:ascii="OpenSymbol" w:hAnsi="OpenSymbol" w:eastAsia="OpenSymbol" w:cs="OpenSymbol"/>
    </w:rPr>
  </w:style>
  <w:style w:type="character" w:styleId="Textenonproportionnel">
    <w:name w:val="Texte non proportionnel"/>
    <w:qFormat/>
    <w:rPr>
      <w:rFonts w:ascii="Liberation Mono" w:hAnsi="Liberation Mono" w:eastAsia="Liberation Mono" w:cs="Liberation Mono"/>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Marianne" w:hAnsi="Marianne" w:cs="Arial"/>
      <w:i/>
      <w:iCs/>
      <w:color w:val="00A65D"/>
      <w:sz w:val="22"/>
      <w:szCs w:val="22"/>
    </w:rPr>
  </w:style>
  <w:style w:type="character" w:styleId="ListLabel51">
    <w:name w:val="ListLabel 51"/>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286"/>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286"/>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28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clear" w:pos="286"/>
        <w:tab w:val="right" w:pos="9073" w:leader="dot"/>
      </w:tabs>
      <w:ind w:left="283" w:hanging="0"/>
    </w:pPr>
    <w:rPr/>
  </w:style>
  <w:style w:type="paragraph" w:styleId="Tabledesmatiresniveau3">
    <w:name w:val="TOC 3"/>
    <w:basedOn w:val="Index"/>
    <w:pPr>
      <w:tabs>
        <w:tab w:val="clear" w:pos="286"/>
        <w:tab w:val="right" w:pos="8790" w:leader="dot"/>
      </w:tabs>
      <w:ind w:left="566" w:hanging="0"/>
    </w:pPr>
    <w:rPr/>
  </w:style>
  <w:style w:type="paragraph" w:styleId="02inter2">
    <w:name w:val="02_inter 2"/>
    <w:qFormat/>
    <w:pPr>
      <w:widowControl/>
      <w:bidi w:val="0"/>
      <w:spacing w:lineRule="exact" w:line="280" w:before="120" w:after="80"/>
      <w:jc w:val="left"/>
    </w:pPr>
    <w:rPr>
      <w:rFonts w:ascii="Arial" w:hAnsi="Arial" w:eastAsia="Calibri" w:cs="Arial"/>
      <w:bCs/>
      <w:color w:val="169B62"/>
      <w:kern w:val="0"/>
      <w:sz w:val="20"/>
      <w:szCs w:val="20"/>
      <w:lang w:val="fr-FR" w:eastAsia="en-US" w:bidi="ar-SA"/>
    </w:rPr>
  </w:style>
  <w:style w:type="paragraph" w:styleId="ListParagraph">
    <w:name w:val="List Paragraph"/>
    <w:basedOn w:val="Normal"/>
    <w:qFormat/>
    <w:pPr>
      <w:ind w:left="720" w:hanging="0"/>
    </w:pPr>
    <w:rPr/>
  </w:style>
  <w:style w:type="paragraph" w:styleId="03listetiret">
    <w:name w:val="03_liste-tiret"/>
    <w:basedOn w:val="ListParagraph"/>
    <w:qFormat/>
    <w:pPr>
      <w:spacing w:lineRule="exact" w:line="280"/>
      <w:jc w:val="both"/>
    </w:pPr>
    <w:rPr>
      <w:rFonts w:ascii="Arial" w:hAnsi="Arial" w:cs="Arial"/>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LibreOffice/6.1.6.3.M13$Windows_X86_64 LibreOffice_project/31671adeb09bb5a7234188d1a99bab8c62b9e233</Application>
  <Pages>26</Pages>
  <Words>3967</Words>
  <Characters>19636</Characters>
  <CharactersWithSpaces>23792</CharactersWithSpaces>
  <Paragraphs>722</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2021-07-15T15:04:27Z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