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Nord</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142_1443217471">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44_1443217471">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46_1443217471">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48_1443217471">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50_1443217471">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52_1443217471">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54_1443217471">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56_1443217471">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58_1443217471">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60_1443217471">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62_1443217471">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64_1443217471">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66_1443217471">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68_1443217471">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70_1443217471">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72_1443217471">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74_1443217471">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76_1443217471">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78_1443217471">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80_1443217471">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82_1443217471">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84_1443217471">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86_1443217471">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88_1443217471">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42_1443217471"/>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Depuis le début de l’année 2021, l’ADEME a lancé un grand nombre d’appels à projets, principalement à destination des entreprises, qu’elle a regroupé dans 7 volets principaux (décarbonation de l’industrie, hydrogène, économie circulaire, TPE-PME, fonds tourisme durable, friches et agriculture durable) par souci de clarté.</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br/>
              <w:t xml:space="preserve">La communication sur ces appels à projets s’est améliorée et le nombre de lauréats à sensiblement augmenté pour atteindre </w:t>
            </w:r>
            <w:r>
              <w:rPr>
                <w:rFonts w:eastAsia="Calibri" w:cs="" w:ascii="Marianne" w:hAnsi="Marianne" w:cstheme="minorBidi" w:eastAsiaTheme="minorHAnsi"/>
                <w:b w:val="false"/>
                <w:bCs w:val="false"/>
                <w:color w:val="auto"/>
                <w:sz w:val="20"/>
                <w:szCs w:val="20"/>
              </w:rPr>
              <w:t>5</w:t>
            </w:r>
            <w:r>
              <w:rPr>
                <w:rFonts w:eastAsia="Calibri" w:cs="" w:ascii="Marianne" w:hAnsi="Marianne" w:cstheme="minorBidi" w:eastAsiaTheme="minorHAnsi"/>
                <w:b w:val="false"/>
                <w:bCs w:val="false"/>
                <w:color w:val="auto"/>
                <w:sz w:val="20"/>
                <w:szCs w:val="20"/>
              </w:rPr>
              <w:t xml:space="preserve">5 au total </w:t>
            </w:r>
            <w:r>
              <w:rPr>
                <w:rFonts w:eastAsia="Calibri" w:cs="" w:ascii="Marianne" w:hAnsi="Marianne" w:cstheme="minorBidi" w:eastAsiaTheme="minorHAnsi"/>
                <w:b w:val="false"/>
                <w:bCs w:val="false"/>
                <w:color w:val="auto"/>
                <w:sz w:val="20"/>
                <w:szCs w:val="20"/>
              </w:rPr>
              <w:t>en</w:t>
            </w:r>
            <w:r>
              <w:rPr>
                <w:rFonts w:eastAsia="Calibri" w:cs="" w:ascii="Marianne" w:hAnsi="Marianne" w:cstheme="minorBidi" w:eastAsiaTheme="minorHAnsi"/>
                <w:b w:val="false"/>
                <w:bCs w:val="false"/>
                <w:color w:val="auto"/>
                <w:sz w:val="20"/>
                <w:szCs w:val="20"/>
              </w:rPr>
              <w:t xml:space="preserve"> mai </w:t>
            </w:r>
            <w:r>
              <w:rPr>
                <w:rFonts w:eastAsia="Calibri" w:cs="" w:ascii="Marianne" w:hAnsi="Marianne" w:cstheme="minorBidi" w:eastAsiaTheme="minorHAnsi"/>
                <w:b w:val="false"/>
                <w:bCs w:val="false"/>
                <w:color w:val="auto"/>
                <w:sz w:val="20"/>
                <w:szCs w:val="20"/>
              </w:rPr>
              <w:t xml:space="preserve">2021 </w:t>
            </w:r>
            <w:r>
              <w:rPr>
                <w:rFonts w:eastAsia="Calibri" w:cs="" w:ascii="Marianne" w:hAnsi="Marianne" w:cstheme="minorBidi" w:eastAsiaTheme="minorHAnsi"/>
                <w:b w:val="false"/>
                <w:bCs w:val="false"/>
                <w:color w:val="auto"/>
                <w:sz w:val="20"/>
                <w:szCs w:val="20"/>
              </w:rPr>
              <w:t xml:space="preserve">dans le Nord.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La modernisation de </w:t>
            </w:r>
            <w:r>
              <w:rPr>
                <w:rFonts w:eastAsia="Calibri" w:cs="" w:ascii="Marianne" w:hAnsi="Marianne" w:cstheme="minorBidi" w:eastAsiaTheme="minorHAnsi"/>
                <w:b w:val="false"/>
                <w:bCs w:val="false"/>
                <w:color w:val="auto"/>
                <w:sz w:val="20"/>
                <w:szCs w:val="20"/>
              </w:rPr>
              <w:t xml:space="preserve">la </w:t>
            </w:r>
            <w:r>
              <w:rPr>
                <w:rFonts w:eastAsia="Calibri" w:cs="" w:ascii="Marianne" w:hAnsi="Marianne" w:cstheme="minorBidi" w:eastAsiaTheme="minorHAnsi"/>
                <w:b w:val="false"/>
                <w:bCs w:val="false"/>
                <w:color w:val="auto"/>
                <w:sz w:val="20"/>
                <w:szCs w:val="20"/>
              </w:rPr>
              <w:t xml:space="preserve">filière automobile et, dans une moindre mesure, aéronautique, continue  de susciter </w:t>
            </w:r>
            <w:r>
              <w:rPr>
                <w:rFonts w:eastAsia="Calibri" w:cs="" w:ascii="Marianne" w:hAnsi="Marianne" w:cstheme="minorBidi" w:eastAsiaTheme="minorHAnsi"/>
                <w:b w:val="false"/>
                <w:bCs w:val="false"/>
                <w:color w:val="auto"/>
                <w:sz w:val="20"/>
                <w:szCs w:val="20"/>
              </w:rPr>
              <w:t>un niveau élevé de candidatures, malgré un nombre de lauréats en faible augmentation (passage de 11 à 13 entre avril et juin).</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br/>
              <w:t xml:space="preserve">Concernant la rénovation des bâtiments de l’État, après la phase de sélection et de validation des projets lors de la conférence nationale sur l’immobilier public (CNIP) en décembre 2020, </w:t>
            </w:r>
            <w:r>
              <w:rPr>
                <w:rFonts w:eastAsia="Calibri" w:cs="" w:ascii="Marianne" w:hAnsi="Marianne" w:cstheme="minorBidi" w:eastAsiaTheme="minorHAnsi"/>
                <w:b w:val="false"/>
                <w:bCs w:val="false"/>
                <w:color w:val="auto"/>
                <w:sz w:val="20"/>
                <w:szCs w:val="20"/>
              </w:rPr>
              <w:t>près d’</w:t>
            </w:r>
            <w:r>
              <w:rPr>
                <w:rFonts w:eastAsia="Calibri" w:cs="" w:ascii="Marianne" w:hAnsi="Marianne" w:cstheme="minorBidi" w:eastAsiaTheme="minorHAnsi"/>
                <w:b w:val="false"/>
                <w:bCs w:val="false"/>
                <w:color w:val="auto"/>
                <w:sz w:val="20"/>
                <w:szCs w:val="20"/>
              </w:rPr>
              <w:t xml:space="preserve">une vingtaine de marchés publics de rénovation ont pu être notifiés depuis le début de l’année, traduisant ainsi la montée en puissance de l’engagement de l’État, prélude à un démarrage des travaux </w:t>
            </w:r>
            <w:r>
              <w:rPr>
                <w:rFonts w:eastAsia="Calibri" w:cs="" w:ascii="Marianne" w:hAnsi="Marianne" w:cstheme="minorBidi" w:eastAsiaTheme="minorHAnsi"/>
                <w:b w:val="false"/>
                <w:bCs w:val="false"/>
                <w:color w:val="auto"/>
                <w:sz w:val="20"/>
                <w:szCs w:val="20"/>
              </w:rPr>
              <w:t>dans les prochains mois ou bien déjà effectif</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xml:space="preserve">(cas de </w:t>
            </w:r>
            <w:r>
              <w:rPr>
                <w:rFonts w:eastAsia="Calibri" w:cs="" w:ascii="Marianne" w:hAnsi="Marianne" w:cstheme="minorBidi" w:eastAsiaTheme="minorHAnsi"/>
                <w:b w:val="false"/>
                <w:bCs w:val="false"/>
                <w:color w:val="auto"/>
                <w:sz w:val="20"/>
                <w:szCs w:val="20"/>
              </w:rPr>
              <w:t xml:space="preserve">la réhabilitation des résidences </w:t>
            </w:r>
            <w:r>
              <w:rPr>
                <w:rFonts w:eastAsia="Calibri" w:cs="" w:ascii="Marianne" w:hAnsi="Marianne" w:cstheme="minorBidi" w:eastAsiaTheme="minorHAnsi"/>
                <w:b w:val="false"/>
                <w:bCs w:val="false"/>
                <w:color w:val="auto"/>
                <w:sz w:val="20"/>
                <w:szCs w:val="20"/>
              </w:rPr>
              <w:t xml:space="preserve">du </w:t>
            </w:r>
            <w:r>
              <w:rPr>
                <w:rFonts w:eastAsia="Calibri" w:cs="" w:ascii="Marianne" w:hAnsi="Marianne" w:cstheme="minorBidi" w:eastAsiaTheme="minorHAnsi"/>
                <w:b w:val="false"/>
                <w:bCs w:val="false"/>
                <w:color w:val="auto"/>
                <w:sz w:val="20"/>
                <w:szCs w:val="20"/>
              </w:rPr>
              <w:t xml:space="preserve">CROUS  </w:t>
            </w:r>
            <w:r>
              <w:rPr>
                <w:rFonts w:eastAsia="Calibri" w:cs="" w:ascii="Marianne" w:hAnsi="Marianne" w:cstheme="minorBidi" w:eastAsiaTheme="minorHAnsi"/>
                <w:b w:val="false"/>
                <w:bCs w:val="false"/>
                <w:color w:val="auto"/>
                <w:sz w:val="20"/>
                <w:szCs w:val="20"/>
              </w:rPr>
              <w:t>à</w:t>
            </w:r>
            <w:r>
              <w:rPr>
                <w:rFonts w:eastAsia="Calibri" w:cs="" w:ascii="Marianne" w:hAnsi="Marianne" w:cstheme="minorBidi" w:eastAsiaTheme="minorHAnsi"/>
                <w:b w:val="false"/>
                <w:bCs w:val="false"/>
                <w:color w:val="auto"/>
                <w:sz w:val="20"/>
                <w:szCs w:val="20"/>
              </w:rPr>
              <w:t xml:space="preserve"> la Cité scientifique </w:t>
            </w:r>
            <w:r>
              <w:rPr>
                <w:rFonts w:eastAsia="Calibri" w:cs="" w:ascii="Marianne" w:hAnsi="Marianne" w:cstheme="minorBidi" w:eastAsiaTheme="minorHAnsi"/>
                <w:b w:val="false"/>
                <w:bCs w:val="false"/>
                <w:color w:val="auto"/>
                <w:sz w:val="20"/>
                <w:szCs w:val="20"/>
              </w:rPr>
              <w:t>de</w:t>
            </w:r>
            <w:r>
              <w:rPr>
                <w:rFonts w:eastAsia="Calibri" w:cs="" w:ascii="Marianne" w:hAnsi="Marianne" w:cstheme="minorBidi" w:eastAsiaTheme="minorHAnsi"/>
                <w:b w:val="false"/>
                <w:bCs w:val="false"/>
                <w:color w:val="auto"/>
                <w:sz w:val="20"/>
                <w:szCs w:val="20"/>
              </w:rPr>
              <w:t xml:space="preserve"> Villeneuve d'Ascq</w:t>
            </w:r>
            <w:r>
              <w:rPr>
                <w:rFonts w:eastAsia="Calibri" w:cs="" w:ascii="Marianne" w:hAnsi="Marianne" w:cstheme="minorBidi" w:eastAsiaTheme="minorHAnsi"/>
                <w:b w:val="false"/>
                <w:bCs w:val="false"/>
                <w:color w:val="auto"/>
                <w:sz w:val="20"/>
                <w:szCs w:val="20"/>
              </w:rPr>
              <w:t>)</w:t>
            </w:r>
            <w:r>
              <w:rPr>
                <w:rFonts w:eastAsia="Calibri" w:cs="" w:ascii="Marianne" w:hAnsi="Marianne" w:cstheme="minorBidi" w:eastAsiaTheme="minorHAnsi"/>
                <w:b w:val="false"/>
                <w:bCs w:val="false"/>
                <w:color w:val="auto"/>
                <w:sz w:val="20"/>
                <w:szCs w:val="20"/>
              </w:rPr>
              <w:t>.</w:t>
              <w:br/>
              <w:t xml:space="preserve"> </w:t>
              <w:br/>
              <w:t xml:space="preserve">Les dispositifs en faveur des particuliers tels que Ma Prime Rénov’ </w:t>
            </w:r>
            <w:r>
              <w:rPr>
                <w:rFonts w:eastAsia="Calibri" w:cs="" w:ascii="Marianne" w:hAnsi="Marianne" w:cstheme="minorBidi" w:eastAsiaTheme="minorHAnsi"/>
                <w:b w:val="false"/>
                <w:bCs w:val="false"/>
                <w:color w:val="auto"/>
                <w:sz w:val="20"/>
                <w:szCs w:val="20"/>
              </w:rPr>
              <w:t>et</w:t>
            </w:r>
            <w:r>
              <w:rPr>
                <w:rFonts w:eastAsia="Calibri" w:cs="" w:ascii="Marianne" w:hAnsi="Marianne" w:cstheme="minorBidi" w:eastAsiaTheme="minorHAnsi"/>
                <w:b w:val="false"/>
                <w:bCs w:val="false"/>
                <w:color w:val="auto"/>
                <w:sz w:val="20"/>
                <w:szCs w:val="20"/>
              </w:rPr>
              <w:t xml:space="preserve"> le bonus é</w:t>
            </w:r>
            <w:r>
              <w:rPr>
                <w:rFonts w:eastAsia="Calibri" w:cs="" w:ascii="Marianne" w:hAnsi="Marianne" w:cstheme="minorBidi" w:eastAsiaTheme="minorHAnsi"/>
                <w:b w:val="false"/>
                <w:bCs w:val="false"/>
                <w:color w:val="auto"/>
                <w:sz w:val="20"/>
                <w:szCs w:val="20"/>
              </w:rPr>
              <w:t>cologiq</w:t>
            </w:r>
            <w:r>
              <w:rPr>
                <w:rFonts w:eastAsia="Calibri" w:cs="" w:ascii="Marianne" w:hAnsi="Marianne" w:cstheme="minorBidi" w:eastAsiaTheme="minorHAnsi"/>
                <w:b w:val="false"/>
                <w:bCs w:val="false"/>
                <w:color w:val="auto"/>
                <w:sz w:val="20"/>
                <w:szCs w:val="20"/>
              </w:rPr>
              <w:t xml:space="preserve">ue connaissent un franc succès, </w:t>
            </w:r>
            <w:r>
              <w:rPr>
                <w:rFonts w:eastAsia="Calibri" w:cs="" w:ascii="Marianne" w:hAnsi="Marianne" w:cstheme="minorBidi" w:eastAsiaTheme="minorHAnsi"/>
                <w:b w:val="false"/>
                <w:bCs w:val="false"/>
                <w:color w:val="auto"/>
                <w:sz w:val="20"/>
                <w:szCs w:val="20"/>
              </w:rPr>
              <w:t>de nature à justifier un réabondement.</w:t>
            </w: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44_1443217471"/>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5 375 (42%)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4 682 (43%)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4 058 (43%)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Hauts-de-France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12 663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10 959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9 520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46_1443217471"/>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10 478 (39%)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132.9 M€ (34%)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8 189 (38%)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114.3 M€ (34%)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5 554 (39%)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95.7 M€ (34%)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Hauts-de-France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27 209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391.4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21 336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337.7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14 341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281.1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48_1443217471"/>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Hauts-de-France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52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52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50_1443217471"/>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182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182 (23%)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Hauts-de-France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792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792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52_1443217471"/>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7 603 (42%)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7 255 (42%)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6 954 (42%)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Hauts-de-France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18 258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17 449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16 676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54_1443217471"/>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Hauts-de-France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56_1443217471"/>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(25%)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 (47%)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Hauts-de-France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59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t>Parmi</w:t>
            </w:r>
            <w:r>
              <w:rPr/>
              <w:t xml:space="preserve"> </w:t>
            </w:r>
            <w:r>
              <w:rPr/>
              <w:t>l</w:t>
            </w:r>
            <w:r>
              <w:rPr/>
              <w:t xml:space="preserve">es opérations dont le marché de rénovation a été notifié, </w:t>
            </w:r>
            <w:r>
              <w:rPr/>
              <w:t xml:space="preserve">figurent notamment : </w:t>
            </w:r>
          </w:p>
          <w:p>
            <w:pPr>
              <w:pStyle w:val="Contenudecadre"/>
              <w:overflowPunct w:val="false"/>
              <w:spacing w:lineRule="auto" w:line="240" w:before="0" w:after="0"/>
              <w:jc w:val="left"/>
              <w:rPr/>
            </w:pPr>
            <w:r>
              <w:rPr/>
              <w:t xml:space="preserve">- la réhabilitation des résidences CROUS  de logements étudiants sur la Cité scientifique à Villeneuve d'Ascq </w:t>
            </w:r>
            <w:r>
              <w:rPr/>
              <w:t>pour 12 M€</w:t>
            </w:r>
            <w:r>
              <w:rPr/>
              <w:t> : au moins 8 bâtiments sont actuellement en cours de travaux.</w:t>
            </w:r>
          </w:p>
          <w:p>
            <w:pPr>
              <w:pStyle w:val="Contenudecadre"/>
              <w:overflowPunct w:val="false"/>
              <w:spacing w:lineRule="auto" w:line="240" w:before="0" w:after="0"/>
              <w:jc w:val="left"/>
              <w:rPr/>
            </w:pPr>
            <w:r>
              <w:rPr/>
              <w:t xml:space="preserve">- la restructuration de l'unité éducative d'hébergement collectif (UEHC) de Tourcoing </w:t>
            </w:r>
            <w:r>
              <w:rPr/>
              <w:t xml:space="preserve">pour </w:t>
            </w:r>
            <w:r>
              <w:rPr/>
              <w:t xml:space="preserve">2,750 M€: l'avis d'attribution du marché de maîtrise d'oeuvre </w:t>
            </w:r>
            <w:r>
              <w:rPr/>
              <w:t xml:space="preserve">a été </w:t>
            </w:r>
            <w:r>
              <w:rPr/>
              <w:t xml:space="preserve">publié le 4 juin 2020 dans le JOUE </w:t>
            </w:r>
            <w:r>
              <w:rPr/>
              <w:t>et</w:t>
            </w:r>
            <w:r>
              <w:rPr/>
              <w:t xml:space="preserve"> l'avis d'appel public à la concurrence pour les travaux de restructuration </w:t>
            </w:r>
            <w:r>
              <w:rPr/>
              <w:t xml:space="preserve">a été </w:t>
            </w:r>
            <w:r>
              <w:rPr/>
              <w:t>publié le 2 juillet dernier</w:t>
            </w:r>
          </w:p>
          <w:p>
            <w:pPr>
              <w:pStyle w:val="Contenudecadre"/>
              <w:overflowPunct w:val="false"/>
              <w:spacing w:lineRule="auto" w:line="240" w:before="0" w:after="0"/>
              <w:jc w:val="left"/>
              <w:rPr/>
            </w:pPr>
            <w:r>
              <w:rPr/>
              <w:t xml:space="preserve">- la rénovation énergétique de la faculté de pharmacie de l'Université de Lille </w:t>
            </w:r>
            <w:r>
              <w:rPr/>
              <w:t>pour 18,172 M€ :</w:t>
            </w:r>
            <w:r>
              <w:rPr/>
              <w:t xml:space="preserve"> un avis de marché conception-réalisation a été publié au BOAMP et au JOUE en février et mars 2</w:t>
            </w:r>
            <w:r>
              <w:rPr/>
              <w:t>021</w:t>
            </w:r>
            <w:r>
              <w:rPr/>
              <w:t>.</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58_1443217471"/>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Les appels à projets en direction des entreprises tels que « le soutien aux projets industriels des territoires » et « la sécurité des approvisionnements critiques » connaissent un réel succès, qui se traduit par la consommation rapide des enveloppes initiales et la nécessité de les réabonder par un mécanisme de redéploiement des crédits entre mesures du plan France Relance.</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L’aide à la numérisation des TPE-PME-ETI continue à monter en puissance (1254 accompagnements dispensés en </w:t>
            </w:r>
            <w:r>
              <w:rPr>
                <w:rFonts w:eastAsia="Calibri" w:cs="" w:ascii="Marianne" w:hAnsi="Marianne" w:cstheme="minorBidi" w:eastAsiaTheme="minorHAnsi"/>
                <w:b w:val="false"/>
                <w:bCs w:val="false"/>
                <w:color w:val="auto"/>
                <w:sz w:val="20"/>
                <w:szCs w:val="20"/>
              </w:rPr>
              <w:t xml:space="preserve">cumulé en </w:t>
            </w:r>
            <w:r>
              <w:rPr>
                <w:rFonts w:eastAsia="Calibri" w:cs="" w:ascii="Marianne" w:hAnsi="Marianne" w:cstheme="minorBidi" w:eastAsiaTheme="minorHAnsi"/>
                <w:b w:val="false"/>
                <w:bCs w:val="false"/>
                <w:color w:val="auto"/>
                <w:sz w:val="20"/>
                <w:szCs w:val="20"/>
              </w:rPr>
              <w:t xml:space="preserve">mai 2021). </w:t>
            </w:r>
            <w:r>
              <w:rPr>
                <w:rFonts w:eastAsia="Calibri" w:cs="" w:ascii="Marianne" w:hAnsi="Marianne" w:cstheme="minorBidi" w:eastAsiaTheme="minorHAnsi"/>
                <w:b w:val="false"/>
                <w:bCs w:val="false"/>
                <w:color w:val="auto"/>
                <w:sz w:val="20"/>
                <w:szCs w:val="20"/>
              </w:rPr>
              <w:t>Cette mesure, qui r</w:t>
            </w:r>
            <w:r>
              <w:rPr>
                <w:rFonts w:eastAsia="Calibri" w:cs="" w:ascii="Marianne" w:hAnsi="Marianne" w:cstheme="minorBidi" w:eastAsiaTheme="minorHAnsi"/>
                <w:b w:val="false"/>
                <w:bCs w:val="false"/>
                <w:color w:val="auto"/>
                <w:sz w:val="20"/>
                <w:szCs w:val="20"/>
              </w:rPr>
              <w:t>encontre son public, fera l’objet d’une campagne de communication ciblée en septembre 2021, à l’occasion de l’anniversaire du plan de relance, afin de maintenir la dynamique.</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D’autres dispositifs comme l’assurance prospection ou le renforcement des subventions Business France </w:t>
            </w:r>
            <w:r>
              <w:rPr>
                <w:rFonts w:eastAsia="Calibri" w:cs="" w:ascii="Marianne" w:hAnsi="Marianne" w:cstheme="minorBidi" w:eastAsiaTheme="minorHAnsi"/>
                <w:b w:val="false"/>
                <w:bCs w:val="false"/>
                <w:color w:val="auto"/>
                <w:sz w:val="20"/>
                <w:szCs w:val="20"/>
              </w:rPr>
              <w:t>concernent un cercle plus restreint d’</w:t>
            </w:r>
            <w:r>
              <w:rPr>
                <w:rFonts w:eastAsia="Calibri" w:cs="" w:ascii="Marianne" w:hAnsi="Marianne" w:cstheme="minorBidi" w:eastAsiaTheme="minorHAnsi"/>
                <w:b w:val="false"/>
                <w:bCs w:val="false"/>
                <w:color w:val="auto"/>
                <w:sz w:val="20"/>
                <w:szCs w:val="20"/>
              </w:rPr>
              <w:t xml:space="preserve">entreprises.  </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D’une manière générale, l</w:t>
            </w:r>
            <w:r>
              <w:rPr>
                <w:rFonts w:eastAsia="Calibri" w:cs="" w:ascii="Marianne" w:hAnsi="Marianne" w:cstheme="minorBidi" w:eastAsiaTheme="minorHAnsi"/>
                <w:b w:val="false"/>
                <w:bCs w:val="false"/>
                <w:color w:val="auto"/>
                <w:sz w:val="20"/>
                <w:szCs w:val="20"/>
              </w:rPr>
              <w:t xml:space="preserve">es modalités de communication des résultats des appels à projets (annonce des lauréats et des candidats rejetés) et de notification des aides mériteraient cependant d’être simplifiées et le délai raccourci.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60_1443217471"/>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(25%)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Hauts-de-France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64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19 dossiers ont été retenus pour un montant total d’aide accordé de 10 083 500€ représentant un montant total d’investissement de plus de 138 M€. </w:t>
              <w:br/>
              <w:t xml:space="preserve"> </w:t>
              <w:br/>
              <w:t xml:space="preserve">Les bénéficiaires sont les entreprises AXSYSTEM à Bailleul, NIDAPLAST HONEYCOMBS à Thiant, SIG LOG’s à Denain, EUROCAVE à Fourmies, ORT SOLUTIONS à Bavay, CEF (Centre d’Essai Ferroviaire) à Petite Forêt, SPAC à Neuville-sur-Escaut, PANDROL à Raismes, VAN ROBAYES à Killem , BOMBARDIER à Crespin, LENER CORDIER à Hazebrouck, SETRACO à Aniche, LES HEBIHENS pour un projet d’entrepôt logistique sur Cambrai, SOCIETE DES NOUVELLES COULEURS ZINCIQUES à Neuville-sur-Escaut, TEXTILES DES DUNES à Steenvoorde, CLAYRTON’S à Roubaix, HIOLLE INDUSTRIES à Prouvy, l’ASCENSEUR à Merville et H.LEMAHIEU à Saint-André-lez-Lille.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62_1443217471"/>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(39%)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(39%)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(32%)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Hauts-de-France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Dans le Nord, 17 lauréats ont été annoncés au titre des deux premières vagues de l’AAP « soutien à l’investissement dans les secteurs stratégiques pour la résilience de notre économie »: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LABORATOIRES PHARMACEUTIQUES RODAEL à Bierne pour une nouvelle ligne de production</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ALVANCE Aluminium Dunkerque à Loon-Plage pour un projet d’alimentation en alumine de cuves électrolyse</w:t>
              <w:br/>
              <w:t>- LESAFFRE pour 2 projets sur la ZAC des Pierres Blanches à Denain concernant la création d’une unité de chondroïtine et d’une unité de vaniline.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LATTICE MEDICAL à Loos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MICROWAVE CHARACTERIZATION CENTER à Sainghin-en-Mélantois pour un projet dans le secteur électronique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TN INDUSTRIE à Quesnoy-sur-Deûle: pour un projet de valorisation de tous les métaux contenus dans les Dispositifs Médicaux Connectés (DMC) </w:t>
              <w:br/>
              <w:t xml:space="preserve">- NXTFOOD à Villeneuve d’Ascq pour un projet de steack haché végétal </w:t>
              <w:br/>
              <w:t>- PEIGNAGE DUMORTIER à Tourcoing pour un projet de résilience textile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MARCOPHARMA à Tourcoing pour un projet concernant une ligne de fabrication automatisée de filtres souples permettant la séparation des globules blancs (recrutement de 20 emplois directs prévus)</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TDR Groupe à Lallaing pour un projet de nouvelle unité de production de robot mobile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FLOCRYL SAS à Dunkerque </w:t>
              <w:br/>
              <w:t xml:space="preserve">- THALES à Douai dans le domaine du déploiement des technologies 5G.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DIAGAST, filiale du groupe E.F.S (Établissement français du Sang) à Loos-Eurasanté pour un projet de relocalisation en France de la production de dispositifs médicaux essentiels pour la sécurité transfusionnelle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INNOBIOCHIPS à Loos-Eurasanté pour un projet visant à améliorer l’autonomie sanitaire de la France notamment par le développement des tests sérologiques de la COVID-19</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X’PROCHEM SAS à Loos-Eurasanté pour un projet de 3,6 M€ visant l’installation de deux nouvelles unités de production afin d’augmenter la capacité de production française et de développer plus rapidement de nouveaux principes actifs sur le territoire</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ARCELORMITTAL FRANCE à Dunkerque pour un projet visant l’expérimentation de l’usage industriel de la 5G en environnement industriel sévère</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64_1443217471"/>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1 254 (44%)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891 (42%)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614 (41%)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Hauts-de-France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2 839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2 119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1 483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66_1443217471"/>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 (43%)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 (39%)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 (39%)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Hauts-de-France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104 (4%)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68_1443217471"/>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136 (64%)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112 (63%)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100 (64%)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Hauts-de-France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179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156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70_1443217471"/>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(39%)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(41%)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Hauts-de-France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194 (5%)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72_1443217471"/>
      <w:bookmarkEnd w:id="28"/>
      <w:r>
        <w:rPr>
          <w:rFonts w:ascii="Marianne" w:hAnsi="Marianne"/>
          <w:sz w:val="48"/>
          <w:szCs w:val="48"/>
        </w:rPr>
        <w:t>Volet 3 : Cohésion</w:t>
      </w:r>
    </w:p>
    <w:tbl>
      <w:tblPr>
        <w:tblW w:w="8960" w:type="dxa"/>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8960"/>
      </w:tblGrid>
      <w:tr>
        <w:trPr>
          <w:trHeight w:val="8055" w:hRule="atLeast"/>
        </w:trPr>
        <w:tc>
          <w:tcPr>
            <w:tcW w:w="8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Le rythme de déploiement des mesures du « plan 1jeune/1 solution » s’accélère progressivement dans le département du Nord au </w:t>
            </w:r>
            <w:r>
              <w:rPr>
                <w:rFonts w:eastAsia="Calibri" w:cs="" w:ascii="Marianne" w:hAnsi="Marianne" w:cstheme="minorBidi" w:eastAsiaTheme="minorHAnsi"/>
                <w:b w:val="false"/>
                <w:bCs w:val="false"/>
                <w:color w:val="auto"/>
                <w:sz w:val="20"/>
                <w:szCs w:val="20"/>
              </w:rPr>
              <w:t>second</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t</w:t>
            </w:r>
            <w:r>
              <w:rPr>
                <w:rFonts w:eastAsia="Calibri" w:cs="" w:ascii="Marianne" w:hAnsi="Marianne" w:cstheme="minorBidi" w:eastAsiaTheme="minorHAnsi"/>
                <w:b w:val="false"/>
                <w:bCs w:val="false"/>
                <w:color w:val="auto"/>
                <w:sz w:val="20"/>
                <w:szCs w:val="20"/>
              </w:rPr>
              <w:t>rimestre 2021.</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t xml:space="preserve">Face aux conséquences de la crise sanitaire et à la moindre attractivité de certains contrats aidés tels que les contrats initiative emploi (CIE) Jeunes, qui freinent la mise en œuvre du dispositif, un plan d’actions a été mis en place </w:t>
            </w:r>
            <w:r>
              <w:rPr>
                <w:rFonts w:eastAsia="Calibri" w:cs="" w:ascii="Marianne" w:hAnsi="Marianne" w:cstheme="minorBidi" w:eastAsiaTheme="minorHAnsi"/>
                <w:b w:val="false"/>
                <w:bCs w:val="false"/>
                <w:color w:val="auto"/>
                <w:sz w:val="20"/>
                <w:szCs w:val="20"/>
              </w:rPr>
              <w:t xml:space="preserve">en début d’année </w:t>
            </w:r>
            <w:r>
              <w:rPr>
                <w:rFonts w:eastAsia="Calibri" w:cs="" w:ascii="Marianne" w:hAnsi="Marianne" w:cstheme="minorBidi" w:eastAsiaTheme="minorHAnsi"/>
                <w:b w:val="false"/>
                <w:bCs w:val="false"/>
                <w:color w:val="auto"/>
                <w:sz w:val="20"/>
                <w:szCs w:val="20"/>
              </w:rPr>
              <w:t>afin d’assurer l’atteinte des objectifs chiffrés fixés dans la feuille de route pour 2021.</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t>Ce plan d’action</w:t>
            </w:r>
            <w:r>
              <w:rPr>
                <w:rFonts w:eastAsia="Calibri" w:cs="" w:ascii="Marianne" w:hAnsi="Marianne" w:cstheme="minorBidi" w:eastAsiaTheme="minorHAnsi"/>
                <w:b w:val="false"/>
                <w:bCs w:val="false"/>
                <w:color w:val="auto"/>
                <w:sz w:val="20"/>
                <w:szCs w:val="20"/>
              </w:rPr>
              <w:t>s</w:t>
            </w:r>
            <w:r>
              <w:rPr>
                <w:rFonts w:eastAsia="Calibri" w:cs="" w:ascii="Marianne" w:hAnsi="Marianne" w:cstheme="minorBidi" w:eastAsiaTheme="minorHAnsi"/>
                <w:b w:val="false"/>
                <w:bCs w:val="false"/>
                <w:color w:val="auto"/>
                <w:sz w:val="20"/>
                <w:szCs w:val="20"/>
              </w:rPr>
              <w:t xml:space="preserve"> est structuré autour de quatre axes :</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mobilisation et repérage des publics cible,</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prospection des employeurs publics et privés,</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mise en relation directe entre publics et employeurs,</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actions de communication à destination des Chambres consulaires, des experts comptables et des collectivités publiques.</w:t>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t>En outre, des cellules de veille ont été mises en place dans chaque arrondissement du département, sous l’égide des SPEL, rassemblant la DDETS, Pôle emploi, Cap Emploi, les missions locales et le Conseil départemental. Elles visent territorialement à mutualiser les cibles pour les contrats PEC, CIE et emplois francs, à coordonner les actions de chaque opérateur, à décider d’actions mutualisées et à partager les résultats, les difficultés à lever et les réussites à valoriser.</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Ce plan, </w:t>
            </w:r>
            <w:r>
              <w:rPr>
                <w:rFonts w:eastAsia="Calibri" w:cs="" w:ascii="Marianne" w:hAnsi="Marianne" w:cstheme="minorBidi" w:eastAsiaTheme="minorHAnsi"/>
                <w:b w:val="false"/>
                <w:bCs w:val="false"/>
                <w:color w:val="auto"/>
                <w:sz w:val="20"/>
                <w:szCs w:val="20"/>
              </w:rPr>
              <w:t xml:space="preserve">qui est </w:t>
            </w:r>
            <w:r>
              <w:rPr>
                <w:rFonts w:eastAsia="Calibri" w:cs="" w:ascii="Marianne" w:hAnsi="Marianne" w:cstheme="minorBidi" w:eastAsiaTheme="minorHAnsi"/>
                <w:b w:val="false"/>
                <w:bCs w:val="false"/>
                <w:color w:val="auto"/>
                <w:sz w:val="20"/>
                <w:szCs w:val="20"/>
              </w:rPr>
              <w:t xml:space="preserve">amené à évoluer tout au long de l’année 2021, au regard de l’atteinte des objectifs, </w:t>
            </w:r>
            <w:r>
              <w:rPr>
                <w:rFonts w:eastAsia="Calibri" w:cs="" w:ascii="Marianne" w:hAnsi="Marianne" w:cstheme="minorBidi" w:eastAsiaTheme="minorHAnsi"/>
                <w:b w:val="false"/>
                <w:bCs w:val="false"/>
                <w:color w:val="auto"/>
                <w:sz w:val="20"/>
                <w:szCs w:val="20"/>
              </w:rPr>
              <w:t>a déjà commencé à porter ses fruits</w:t>
            </w:r>
            <w:r>
              <w:rPr>
                <w:rFonts w:eastAsia="Calibri" w:cs="" w:ascii="Marianne" w:hAnsi="Marianne" w:cstheme="minorBidi" w:eastAsiaTheme="minorHAnsi"/>
                <w:b w:val="false"/>
                <w:bCs w:val="false"/>
                <w:color w:val="auto"/>
                <w:sz w:val="20"/>
                <w:szCs w:val="20"/>
              </w:rPr>
              <w:t>.</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pPr>
            <w:r>
              <w:rPr>
                <w:rFonts w:eastAsia="Calibri" w:cs="" w:ascii="Marianne" w:hAnsi="Marianne" w:cstheme="minorBidi" w:eastAsiaTheme="minorHAnsi"/>
                <w:b w:val="false"/>
                <w:bCs w:val="false"/>
                <w:color w:val="auto"/>
                <w:sz w:val="20"/>
                <w:szCs w:val="20"/>
              </w:rPr>
              <w:t xml:space="preserve">L’augmentation du nombre de contrats d’apprentissage et de professionnalisation, </w:t>
            </w:r>
            <w:r>
              <w:rPr>
                <w:rFonts w:eastAsia="Calibri" w:cs="" w:ascii="Marianne" w:hAnsi="Marianne" w:cstheme="minorBidi" w:eastAsiaTheme="minorHAnsi"/>
                <w:b w:val="false"/>
                <w:bCs w:val="false"/>
                <w:color w:val="auto"/>
                <w:sz w:val="20"/>
                <w:szCs w:val="20"/>
              </w:rPr>
              <w:t>et le niveau relativement élevé d’emplois francs signés</w:t>
            </w:r>
            <w:r>
              <w:rPr>
                <w:rFonts w:eastAsia="Calibri" w:cs="" w:ascii="Marianne" w:hAnsi="Marianne" w:cstheme="minorBidi" w:eastAsiaTheme="minorHAnsi"/>
                <w:b w:val="false"/>
                <w:bCs w:val="false"/>
                <w:color w:val="auto"/>
                <w:sz w:val="20"/>
                <w:szCs w:val="20"/>
              </w:rPr>
              <w:t xml:space="preserve"> en </w:t>
            </w:r>
            <w:r>
              <w:rPr>
                <w:rFonts w:eastAsia="Calibri" w:cs="" w:ascii="Marianne" w:hAnsi="Marianne" w:cstheme="minorBidi" w:eastAsiaTheme="minorHAnsi"/>
                <w:b w:val="false"/>
                <w:bCs w:val="false"/>
                <w:color w:val="auto"/>
                <w:sz w:val="20"/>
                <w:szCs w:val="20"/>
              </w:rPr>
              <w:t>sont</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de bons</w:t>
            </w:r>
            <w:r>
              <w:rPr>
                <w:rFonts w:eastAsia="Calibri" w:cs="" w:ascii="Marianne" w:hAnsi="Marianne" w:cstheme="minorBidi" w:eastAsiaTheme="minorHAnsi"/>
                <w:b w:val="false"/>
                <w:bCs w:val="false"/>
                <w:color w:val="auto"/>
                <w:sz w:val="20"/>
                <w:szCs w:val="20"/>
              </w:rPr>
              <w:t xml:space="preserve"> exemple</w:t>
            </w:r>
            <w:r>
              <w:rPr>
                <w:rFonts w:eastAsia="Calibri" w:cs="" w:ascii="Marianne" w:hAnsi="Marianne" w:cstheme="minorBidi" w:eastAsiaTheme="minorHAnsi"/>
                <w:b w:val="false"/>
                <w:bCs w:val="false"/>
                <w:color w:val="auto"/>
                <w:sz w:val="20"/>
                <w:szCs w:val="20"/>
              </w:rPr>
              <w:t>s.</w:t>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p>
            <w:pPr>
              <w:pStyle w:val="Contenudecadre"/>
              <w:overflowPunct w:val="true"/>
              <w:spacing w:lineRule="auto" w:line="240" w:before="0" w:after="0"/>
              <w:jc w:val="both"/>
              <w:rPr>
                <w:rFonts w:ascii="Marianne" w:hAnsi="Marianne" w:eastAsia="Calibri" w:cs="" w:cstheme="minorBidi" w:eastAsiaTheme="minorHAnsi"/>
                <w:b w:val="false"/>
                <w:b w:val="false"/>
                <w:bCs w:val="false"/>
                <w:color w:val="auto"/>
                <w:sz w:val="20"/>
                <w:szCs w:val="20"/>
              </w:rPr>
            </w:pPr>
            <w:r>
              <w:rPr/>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74_1443217471"/>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15 153 (48%)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14 068 (47%)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12 867 (47%)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Hauts-de-France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31 823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29 703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27 137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76_1443217471"/>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760 (34%)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546 (33%)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340 (31%)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Hauts-de-France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2 210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1 663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1 106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78_1443217471"/>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3 099 (56%)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2 778 (58%)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2 670 (58%)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Hauts-de-France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5 533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4 800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4 583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80_1443217471"/>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5 923 (49%)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4 941 (49%)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4 170 (49%)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Hauts-de-France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12 140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10 058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8 476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82_1443217471"/>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1 183 (50%)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1 039 (50%)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887 (51%)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Hauts-de-France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2 386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2 081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1 754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84_1443217471"/>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14 858 (51%)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12 586 (51%)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10 753 (51%)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Hauts-de-France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29 049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24 617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20 989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86_1443217471"/>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391 (45%)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318 (44%)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266 (44%)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Hauts-de-France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865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720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604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88_1443217471"/>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Nord</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4 561 (47%)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4 561 (47%)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4 132 (48%)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Hauts-de-France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9 632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9 632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8 685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4</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8">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66" y="0"/>
              <wp:lineTo x="-666" y="20644"/>
              <wp:lineTo x="20537" y="20644"/>
              <wp:lineTo x="20537" y="0"/>
              <wp:lineTo x="-666"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5">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34" y="0"/>
              <wp:lineTo x="-1334" y="19191"/>
              <wp:lineTo x="20013" y="19191"/>
              <wp:lineTo x="20013" y="0"/>
              <wp:lineTo x="-1334"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ListLabel14">
    <w:name w:val="ListLabel 14"/>
    <w:qFormat/>
    <w:rPr>
      <w:rFonts w:ascii="Marianne" w:hAnsi="Marianne" w:cs="Arial"/>
      <w:i/>
      <w:iCs/>
      <w:color w:val="00A65D"/>
      <w:sz w:val="22"/>
      <w:szCs w:val="22"/>
    </w:rPr>
  </w:style>
  <w:style w:type="character" w:styleId="ListLabel15">
    <w:name w:val="ListLabel 15"/>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708"/>
        <w:tab w:val="right" w:pos="9073" w:leader="dot"/>
      </w:tabs>
      <w:ind w:left="283" w:hanging="0"/>
    </w:pPr>
    <w:rPr/>
  </w:style>
  <w:style w:type="paragraph" w:styleId="Tabledesmatiresniveau3">
    <w:name w:val="TOC 3"/>
    <w:basedOn w:val="Index"/>
    <w:pPr>
      <w:tabs>
        <w:tab w:val="clear" w:pos="708"/>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LibreOffice/6.1.5.1.M6$Windows_X86_64 LibreOffice_project/a81782b86f73d4cef391b7f9ec5741a907b48354</Application>
  <Pages>27</Pages>
  <Words>3874</Words>
  <Characters>19445</Characters>
  <CharactersWithSpaces>23530</CharactersWithSpaces>
  <Paragraphs>724</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2021-07-19T18:35:28Z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