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Nord</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79490" cy="7344410"/>
                <wp:effectExtent l="0" t="0" r="0" b="0"/>
                <wp:wrapNone/>
                <wp:docPr id="1" name="Forme1"/>
                <a:graphic xmlns:a="http://schemas.openxmlformats.org/drawingml/2006/main">
                  <a:graphicData uri="http://schemas.microsoft.com/office/word/2010/wordprocessingShape">
                    <wps:wsp>
                      <wps:cNvSpPr/>
                      <wps:spPr>
                        <a:xfrm>
                          <a:off x="0" y="0"/>
                          <a:ext cx="6078960" cy="734364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auto"/>
                              </w:rPr>
                              <w:t xml:space="preserve"> </w:t>
                            </w:r>
                          </w:p>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pPr>
                            <w:r>
                              <w:rPr>
                                <w:rFonts w:eastAsia="Calibri" w:cs="" w:cstheme="minorBidi" w:eastAsiaTheme="minorHAns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jc w:val="both"/>
                              <w:rPr/>
                            </w:pPr>
                            <w:r>
                              <w:rPr/>
                              <w:t>Depuis le début de l’année 2021, l’ADEME a lancé un grand nombre d’appels à projets, principalement à destination des entreprises, qu’elle a regroupé dans 7 volets principaux (décarbonation de l’industrie, hydrogène, économie circulaire, TPE-PME, fonds tourisme durable, friches et agriculture durable) par souci de clarté.</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La communication sur ces appels à projets s’est améliorée et le nombre de lauréats à sensiblement augmenté pour atteindre 35 au total début mai dans le Nord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Concernant la rénovation des bâtiments de l’État, après la phase de sélection et de validation des projets lors de la conférence nationale sur l’immobilier public (CNIP) en décembre 2020, une vingtaine de marchés publics de rénovation ont pu être notifiés depuis le début de l’année, traduisant ainsi la montée en puissance de l’engagement de l’État, prélude à un démarrage des travaux dans les prochains mois.</w:t>
                            </w:r>
                          </w:p>
                          <w:p>
                            <w:pPr>
                              <w:pStyle w:val="Contenudecadre"/>
                              <w:overflowPunct w:val="true"/>
                              <w:spacing w:lineRule="auto" w:line="240" w:before="0" w:after="0"/>
                              <w:jc w:val="both"/>
                              <w:rPr/>
                            </w:pPr>
                            <w:r>
                              <w:rPr/>
                            </w:r>
                          </w:p>
                          <w:p>
                            <w:pPr>
                              <w:pStyle w:val="Contenudecadre"/>
                              <w:overflowPunct w:val="true"/>
                              <w:spacing w:lineRule="auto" w:line="240" w:before="0" w:after="0"/>
                              <w:rPr/>
                            </w:pPr>
                            <w:r>
                              <w:rPr/>
                              <w:t>Les dispositifs en faveur des particuliers tels que Ma Prime Rénov’, le bonus électrique et la prime à la conversion des véhicules légers, connaissent un franc succès.</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6pt;height:578.2pt">
                <w10:wrap type="square"/>
                <v:fill o:detectmouseclick="t" on="false"/>
                <v:stroke color="black" joinstyle="round" endcap="flat"/>
                <v:textbox>
                  <w:txbxContent>
                    <w:p>
                      <w:pPr>
                        <w:pStyle w:val="Contenudecadre"/>
                        <w:overflowPunct w:val="true"/>
                        <w:spacing w:lineRule="auto" w:line="240" w:before="0" w:after="0"/>
                        <w:rPr/>
                      </w:pPr>
                      <w:r>
                        <w:rPr>
                          <w:rFonts w:eastAsia="Calibri" w:cs="" w:cstheme="minorBidi" w:eastAsiaTheme="minorHAnsi"/>
                          <w:b/>
                          <w:bCs/>
                          <w:color w:val="auto"/>
                        </w:rPr>
                        <w:t xml:space="preserve"> </w:t>
                      </w:r>
                    </w:p>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pPr>
                      <w:r>
                        <w:rPr>
                          <w:rFonts w:eastAsia="Calibri" w:cs="" w:cstheme="minorBidi" w:eastAsiaTheme="minorHAns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jc w:val="both"/>
                        <w:rPr/>
                      </w:pPr>
                      <w:r>
                        <w:rPr/>
                        <w:t>Depuis le début de l’année 2021, l’ADEME a lancé un grand nombre d’appels à projets, principalement à destination des entreprises, qu’elle a regroupé dans 7 volets principaux (décarbonation de l’industrie, hydrogène, économie circulaire, TPE-PME, fonds tourisme durable, friches et agriculture durable) par souci de clarté.</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La communication sur ces appels à projets s’est améliorée et le nombre de lauréats à sensiblement augmenté pour atteindre 35 au total début mai dans le Nord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Concernant la rénovation des bâtiments de l’État, après la phase de sélection et de validation des projets lors de la conférence nationale sur l’immobilier public (CNIP) en décembre 2020, une vingtaine de marchés publics de rénovation ont pu être notifiés depuis le début de l’année, traduisant ainsi la montée en puissance de l’engagement de l’État, prélude à un démarrage des travaux dans les prochains mois.</w:t>
                      </w:r>
                    </w:p>
                    <w:p>
                      <w:pPr>
                        <w:pStyle w:val="Contenudecadre"/>
                        <w:overflowPunct w:val="true"/>
                        <w:spacing w:lineRule="auto" w:line="240" w:before="0" w:after="0"/>
                        <w:jc w:val="both"/>
                        <w:rPr/>
                      </w:pPr>
                      <w:r>
                        <w:rPr/>
                      </w:r>
                    </w:p>
                    <w:p>
                      <w:pPr>
                        <w:pStyle w:val="Contenudecadre"/>
                        <w:overflowPunct w:val="true"/>
                        <w:spacing w:lineRule="auto" w:line="240" w:before="0" w:after="0"/>
                        <w:rPr/>
                      </w:pPr>
                      <w:r>
                        <w:rPr/>
                        <w:t>Les dispositifs en faveur des particuliers tels que Ma Prime Rénov’, le bonus électrique et la prime à la conversion des véhicules légers, connaissent un franc succès.</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6655" cy="139065"/>
                <wp:effectExtent l="0" t="0" r="0" b="0"/>
                <wp:wrapNone/>
                <wp:docPr id="3" name="Forme2"/>
                <a:graphic xmlns:a="http://schemas.openxmlformats.org/drawingml/2006/main">
                  <a:graphicData uri="http://schemas.microsoft.com/office/word/2010/wordprocessingShape">
                    <wps:wsp>
                      <wps:cNvSpPr/>
                      <wps:spPr>
                        <a:xfrm>
                          <a:off x="0" y="0"/>
                          <a:ext cx="75261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5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6.9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9"/>
        <w:gridCol w:w="1433"/>
        <w:gridCol w:w="1882"/>
        <w:gridCol w:w="1883"/>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3"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r>
              <w:rPr>
                <w:b/>
                <w:bCs/>
                <w:sz w:val="20"/>
                <w:szCs w:val="20"/>
              </w:rPr>
              <w:t>: Hauts-de-France</w:t>
            </w:r>
            <w:bookmarkEnd w:id="0"/>
          </w:p>
        </w:tc>
      </w:tr>
      <w:tr>
        <w:trPr>
          <w:trHeight w:val="450"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20.6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120.6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14338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7792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73.5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8802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4306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36.3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1656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5555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3087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3471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1749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12.5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660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4080" cy="2425065"/>
                <wp:effectExtent l="0" t="0" r="0" b="0"/>
                <wp:wrapNone/>
                <wp:docPr id="5"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48245" cy="139065"/>
                <wp:effectExtent l="0" t="0" r="0" b="0"/>
                <wp:wrapNone/>
                <wp:docPr id="6"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4080" cy="2651125"/>
                <wp:effectExtent l="0" t="0" r="0" b="0"/>
                <wp:wrapNone/>
                <wp:docPr id="8"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Le dispositif connaît un réel succès avec une bonne progression du nombre de bénéficiaires et de dossiers payés.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Le dispositif connaît un réel succès avec une bonne progression du nombre de bénéficiaires et de dossiers payés.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4058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r>
              <w:rPr>
                <w:b/>
                <w:bCs/>
                <w:sz w:val="20"/>
                <w:szCs w:val="20"/>
              </w:rPr>
              <w:t>: Hauts-de-France</w:t>
            </w:r>
            <w:bookmarkEnd w:id="1"/>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9520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8180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7088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4058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3436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2975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4080" cy="2425065"/>
                <wp:effectExtent l="0" t="0" r="0" b="0"/>
                <wp:wrapNone/>
                <wp:docPr id="10"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48245" cy="139065"/>
                <wp:effectExtent l="0" t="0" r="0" b="0"/>
                <wp:wrapNone/>
                <wp:docPr id="11"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4080" cy="2651125"/>
                <wp:effectExtent l="0" t="0" r="0" b="0"/>
                <wp:wrapNone/>
                <wp:docPr id="13"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r>
              <w:rPr>
                <w:b/>
                <w:bCs/>
                <w:sz w:val="20"/>
                <w:szCs w:val="20"/>
              </w:rPr>
              <w:t>: Hauts-de-France</w:t>
            </w:r>
            <w:bookmarkEnd w:id="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4080" cy="2425065"/>
                <wp:effectExtent l="0" t="0" r="0" b="0"/>
                <wp:wrapNone/>
                <wp:docPr id="15"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8245" cy="139065"/>
                <wp:effectExtent l="0" t="0" r="0" b="0"/>
                <wp:wrapNone/>
                <wp:docPr id="16"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4080" cy="2651125"/>
                <wp:effectExtent l="0" t="0" r="0" b="0"/>
                <wp:wrapNone/>
                <wp:docPr id="18"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eastAsia="Calibri" w:cs="" w:cstheme="minorBidi" w:eastAsiaTheme="minorHAnsi"/>
                                <w:b/>
                                <w:b/>
                                <w:bCs/>
                                <w:color w:val="auto"/>
                                <w:sz w:val="20"/>
                                <w:szCs w:val="20"/>
                              </w:rPr>
                            </w:pPr>
                            <w:r>
                              <w:rPr/>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 SAINT GOBAIN GLASS à Emerchicourt pour son projet « Tri Calcin ». </w:t>
                            </w:r>
                          </w:p>
                          <w:p>
                            <w:pPr>
                              <w:pStyle w:val="Corpsdetexte"/>
                              <w:overflowPunct w:val="true"/>
                              <w:bidi w:val="0"/>
                              <w:spacing w:lineRule="auto" w:line="240"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Fonts w:eastAsia="Arial" w:cs="Arial" w:ascii="Arial" w:hAnsi="Arial"/>
                                <w:b w:val="false"/>
                                <w:bCs w:val="false"/>
                                <w:color w:val="auto"/>
                                <w:sz w:val="20"/>
                                <w:szCs w:val="20"/>
                                <w:lang w:val="en-US" w:eastAsia="en-US" w:bidi="ar-SA"/>
                              </w:rPr>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DILLINGER France à Dunkerque pour son projet de  “rénovation du four poussant n°2”</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Au 11 mars 2021, un nouveau lauréat a été annoncé: ARCELORMITTAL Dunkerque pour un projet de co-injection de gaz de cokerie au haut fourneau n°3.</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eastAsia="Calibri" w:cs="" w:cstheme="minorBidi" w:eastAsiaTheme="minorHAnsi"/>
                          <w:b/>
                          <w:b/>
                          <w:bCs/>
                          <w:color w:val="auto"/>
                          <w:sz w:val="20"/>
                          <w:szCs w:val="20"/>
                        </w:rPr>
                      </w:pPr>
                      <w:r>
                        <w:rPr/>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 SAINT GOBAIN GLASS à Emerchicourt pour son projet « Tri Calcin ». </w:t>
                      </w:r>
                    </w:p>
                    <w:p>
                      <w:pPr>
                        <w:pStyle w:val="Corpsdetexte"/>
                        <w:overflowPunct w:val="true"/>
                        <w:bidi w:val="0"/>
                        <w:spacing w:lineRule="auto" w:line="240"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Fonts w:eastAsia="Arial" w:cs="Arial" w:ascii="Arial" w:hAnsi="Arial"/>
                          <w:b w:val="false"/>
                          <w:bCs w:val="false"/>
                          <w:color w:val="auto"/>
                          <w:sz w:val="20"/>
                          <w:szCs w:val="20"/>
                          <w:lang w:val="en-US" w:eastAsia="en-US" w:bidi="ar-SA"/>
                        </w:rPr>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DILLINGER France à Dunkerque pour son projet de  “rénovation du four poussant n°2”</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Au 11 mars 2021, un nouveau lauréat a été annoncé: ARCELORMITTAL Dunkerque pour un projet de co-injection de gaz de cokerie au haut fourneau n°3.</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r>
              <w:rPr>
                <w:b/>
                <w:bCs/>
                <w:sz w:val="20"/>
                <w:szCs w:val="20"/>
              </w:rPr>
              <w:t>: Hauts-de-France</w:t>
            </w:r>
            <w:bookmarkEnd w:id="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4080" cy="2425065"/>
                <wp:effectExtent l="0" t="0" r="0" b="0"/>
                <wp:wrapNone/>
                <wp:docPr id="20"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8245" cy="139065"/>
                <wp:effectExtent l="0" t="0" r="0" b="0"/>
                <wp:wrapNone/>
                <wp:docPr id="21"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4080" cy="2651125"/>
                <wp:effectExtent l="0" t="0" r="0" b="0"/>
                <wp:wrapNone/>
                <wp:docPr id="23"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Modernisation des filières automobiles</w:t>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Au 11 mars 2021</w:t>
                            </w:r>
                            <w:r>
                              <w:rPr>
                                <w:rFonts w:eastAsia="Arial" w:cs="Arial" w:ascii="Arial" w:hAnsi="Arial"/>
                                <w:b/>
                                <w:bCs/>
                                <w:color w:val="auto"/>
                                <w:sz w:val="20"/>
                                <w:szCs w:val="20"/>
                                <w:lang w:val="en-US" w:eastAsia="en-US" w:bidi="ar-SA"/>
                              </w:rPr>
                              <w:t xml:space="preserve">, 9 lauréats </w:t>
                            </w:r>
                            <w:r>
                              <w:rPr>
                                <w:rFonts w:eastAsia="Arial" w:cs="Arial" w:ascii="Arial" w:hAnsi="Arial"/>
                                <w:b w:val="false"/>
                                <w:bCs w:val="false"/>
                                <w:color w:val="auto"/>
                                <w:sz w:val="20"/>
                                <w:szCs w:val="20"/>
                                <w:lang w:val="en-US" w:eastAsia="en-US" w:bidi="ar-SA"/>
                              </w:rPr>
                              <w:t>dans le Nord au titre des deux premières vagues de l’</w:t>
                            </w:r>
                            <w:r>
                              <w:rPr>
                                <w:rFonts w:eastAsia="Arial" w:cs="Arial" w:ascii="Arial" w:hAnsi="Arial"/>
                                <w:b w:val="false"/>
                                <w:bCs w:val="false"/>
                                <w:color w:val="auto"/>
                                <w:sz w:val="20"/>
                                <w:szCs w:val="20"/>
                                <w:lang w:val="en-US" w:eastAsia="en-US" w:bidi="ar-SA"/>
                              </w:rPr>
                              <w:t xml:space="preserve">appel à projets </w:t>
                            </w:r>
                            <w:r>
                              <w:rPr>
                                <w:rFonts w:eastAsia="Arial" w:cs="Arial" w:ascii="Arial" w:hAnsi="Arial"/>
                                <w:b w:val="false"/>
                                <w:bCs w:val="false"/>
                                <w:color w:val="auto"/>
                                <w:sz w:val="20"/>
                                <w:szCs w:val="20"/>
                                <w:lang w:val="en-US" w:eastAsia="en-US" w:bidi="ar-SA"/>
                              </w:rPr>
                              <w:t xml:space="preserve"> </w:t>
                            </w:r>
                            <w:r>
                              <w:rPr>
                                <w:rFonts w:eastAsia="Arial" w:cs="Arial" w:ascii="Arial" w:hAnsi="Arial"/>
                                <w:b/>
                                <w:bCs/>
                                <w:color w:val="auto"/>
                                <w:sz w:val="20"/>
                                <w:szCs w:val="20"/>
                                <w:lang w:val="en-US" w:eastAsia="en-US" w:bidi="ar-SA"/>
                              </w:rPr>
                              <w:t>totalisant 6 394 500€ d’aides</w:t>
                            </w:r>
                            <w:r>
                              <w:rPr>
                                <w:rFonts w:eastAsia="Arial" w:cs="Arial" w:ascii="Arial" w:hAnsi="Arial"/>
                                <w:b w:val="false"/>
                                <w:bCs w:val="false"/>
                                <w:color w:val="auto"/>
                                <w:sz w:val="20"/>
                                <w:szCs w:val="20"/>
                                <w:lang w:val="en-US" w:eastAsia="en-US" w:bidi="ar-SA"/>
                              </w:rPr>
                              <w:t xml:space="preserve">: PROSYST à Templemars (automatismes industriels), FACAM DISTRIBUTION à Neuville-en-Ferrain (tapis et bacs de coffre automobile), AGC Automotive France à Aniche (verres feuilletés pour l’automobile), DOURDIN SAS à Saint-André-lez-Lille (pièces automobiles décoratives et techniques), AGRATI à Fourmies </w:t>
                            </w:r>
                            <w:r>
                              <w:rPr>
                                <w:rFonts w:eastAsia="Arial" w:cs="Arial" w:ascii="Arial" w:hAnsi="Arial"/>
                                <w:b w:val="false"/>
                                <w:bCs w:val="false"/>
                                <w:color w:val="auto"/>
                                <w:sz w:val="20"/>
                                <w:szCs w:val="20"/>
                                <w:lang w:val="en-US" w:eastAsia="en-US" w:bidi="ar-SA"/>
                              </w:rPr>
                              <w:t>et</w:t>
                            </w:r>
                            <w:r>
                              <w:rPr>
                                <w:rFonts w:eastAsia="Arial" w:cs="Arial" w:ascii="Arial" w:hAnsi="Arial"/>
                                <w:b w:val="false"/>
                                <w:bCs w:val="false"/>
                                <w:color w:val="auto"/>
                                <w:sz w:val="20"/>
                                <w:szCs w:val="20"/>
                                <w:lang w:val="en-US" w:eastAsia="en-US" w:bidi="ar-SA"/>
                              </w:rPr>
                              <w:t xml:space="preserve"> pour le site de Vieux Condé, TREMOIS au Cateau-Cambrésis, TOYOTA BOSHOKU à Somain et WECOSTA à Roubaix.</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Modernisation des filières aéronautiques</w:t>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Dans le Nord, au 11 mars 2021, </w:t>
                            </w:r>
                            <w:r>
                              <w:rPr>
                                <w:rFonts w:eastAsia="Arial" w:cs="Arial" w:ascii="Arial" w:hAnsi="Arial"/>
                                <w:b/>
                                <w:bCs/>
                                <w:color w:val="auto"/>
                                <w:sz w:val="20"/>
                                <w:szCs w:val="20"/>
                                <w:lang w:val="en-US" w:eastAsia="en-US" w:bidi="ar-SA"/>
                              </w:rPr>
                              <w:t>2 lauréats totalisant 2 866 780€ d’aides</w:t>
                            </w:r>
                            <w:r>
                              <w:rPr>
                                <w:rFonts w:eastAsia="Arial" w:cs="Arial" w:ascii="Arial" w:hAnsi="Arial"/>
                                <w:b w:val="false"/>
                                <w:bCs w:val="false"/>
                                <w:color w:val="auto"/>
                                <w:sz w:val="20"/>
                                <w:szCs w:val="20"/>
                                <w:lang w:val="en-US" w:eastAsia="en-US" w:bidi="ar-SA"/>
                              </w:rPr>
                              <w:t>: EODA Réalisations à Pont-sur-Sambre et  MECAPROTEC à Noyelles-lez-Seclin.</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Modernisation des filières automobiles</w:t>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Au 11 mars 2021</w:t>
                      </w:r>
                      <w:r>
                        <w:rPr>
                          <w:rFonts w:eastAsia="Arial" w:cs="Arial" w:ascii="Arial" w:hAnsi="Arial"/>
                          <w:b/>
                          <w:bCs/>
                          <w:color w:val="auto"/>
                          <w:sz w:val="20"/>
                          <w:szCs w:val="20"/>
                          <w:lang w:val="en-US" w:eastAsia="en-US" w:bidi="ar-SA"/>
                        </w:rPr>
                        <w:t xml:space="preserve">, 9 lauréats </w:t>
                      </w:r>
                      <w:r>
                        <w:rPr>
                          <w:rFonts w:eastAsia="Arial" w:cs="Arial" w:ascii="Arial" w:hAnsi="Arial"/>
                          <w:b w:val="false"/>
                          <w:bCs w:val="false"/>
                          <w:color w:val="auto"/>
                          <w:sz w:val="20"/>
                          <w:szCs w:val="20"/>
                          <w:lang w:val="en-US" w:eastAsia="en-US" w:bidi="ar-SA"/>
                        </w:rPr>
                        <w:t>dans le Nord au titre des deux premières vagues de l’</w:t>
                      </w:r>
                      <w:r>
                        <w:rPr>
                          <w:rFonts w:eastAsia="Arial" w:cs="Arial" w:ascii="Arial" w:hAnsi="Arial"/>
                          <w:b w:val="false"/>
                          <w:bCs w:val="false"/>
                          <w:color w:val="auto"/>
                          <w:sz w:val="20"/>
                          <w:szCs w:val="20"/>
                          <w:lang w:val="en-US" w:eastAsia="en-US" w:bidi="ar-SA"/>
                        </w:rPr>
                        <w:t xml:space="preserve">appel à projets </w:t>
                      </w:r>
                      <w:r>
                        <w:rPr>
                          <w:rFonts w:eastAsia="Arial" w:cs="Arial" w:ascii="Arial" w:hAnsi="Arial"/>
                          <w:b w:val="false"/>
                          <w:bCs w:val="false"/>
                          <w:color w:val="auto"/>
                          <w:sz w:val="20"/>
                          <w:szCs w:val="20"/>
                          <w:lang w:val="en-US" w:eastAsia="en-US" w:bidi="ar-SA"/>
                        </w:rPr>
                        <w:t xml:space="preserve"> </w:t>
                      </w:r>
                      <w:r>
                        <w:rPr>
                          <w:rFonts w:eastAsia="Arial" w:cs="Arial" w:ascii="Arial" w:hAnsi="Arial"/>
                          <w:b/>
                          <w:bCs/>
                          <w:color w:val="auto"/>
                          <w:sz w:val="20"/>
                          <w:szCs w:val="20"/>
                          <w:lang w:val="en-US" w:eastAsia="en-US" w:bidi="ar-SA"/>
                        </w:rPr>
                        <w:t>totalisant 6 394 500€ d’aides</w:t>
                      </w:r>
                      <w:r>
                        <w:rPr>
                          <w:rFonts w:eastAsia="Arial" w:cs="Arial" w:ascii="Arial" w:hAnsi="Arial"/>
                          <w:b w:val="false"/>
                          <w:bCs w:val="false"/>
                          <w:color w:val="auto"/>
                          <w:sz w:val="20"/>
                          <w:szCs w:val="20"/>
                          <w:lang w:val="en-US" w:eastAsia="en-US" w:bidi="ar-SA"/>
                        </w:rPr>
                        <w:t xml:space="preserve">: PROSYST à Templemars (automatismes industriels), FACAM DISTRIBUTION à Neuville-en-Ferrain (tapis et bacs de coffre automobile), AGC Automotive France à Aniche (verres feuilletés pour l’automobile), DOURDIN SAS à Saint-André-lez-Lille (pièces automobiles décoratives et techniques), AGRATI à Fourmies </w:t>
                      </w:r>
                      <w:r>
                        <w:rPr>
                          <w:rFonts w:eastAsia="Arial" w:cs="Arial" w:ascii="Arial" w:hAnsi="Arial"/>
                          <w:b w:val="false"/>
                          <w:bCs w:val="false"/>
                          <w:color w:val="auto"/>
                          <w:sz w:val="20"/>
                          <w:szCs w:val="20"/>
                          <w:lang w:val="en-US" w:eastAsia="en-US" w:bidi="ar-SA"/>
                        </w:rPr>
                        <w:t>et</w:t>
                      </w:r>
                      <w:r>
                        <w:rPr>
                          <w:rFonts w:eastAsia="Arial" w:cs="Arial" w:ascii="Arial" w:hAnsi="Arial"/>
                          <w:b w:val="false"/>
                          <w:bCs w:val="false"/>
                          <w:color w:val="auto"/>
                          <w:sz w:val="20"/>
                          <w:szCs w:val="20"/>
                          <w:lang w:val="en-US" w:eastAsia="en-US" w:bidi="ar-SA"/>
                        </w:rPr>
                        <w:t xml:space="preserve"> pour le site de Vieux Condé, TREMOIS au Cateau-Cambrésis, TOYOTA BOSHOKU à Somain et WECOSTA à Roubaix.</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Modernisation des filières aéronautiques</w:t>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Dans le Nord, au 11 mars 2021, </w:t>
                      </w:r>
                      <w:r>
                        <w:rPr>
                          <w:rFonts w:eastAsia="Arial" w:cs="Arial" w:ascii="Arial" w:hAnsi="Arial"/>
                          <w:b/>
                          <w:bCs/>
                          <w:color w:val="auto"/>
                          <w:sz w:val="20"/>
                          <w:szCs w:val="20"/>
                          <w:lang w:val="en-US" w:eastAsia="en-US" w:bidi="ar-SA"/>
                        </w:rPr>
                        <w:t>2 lauréats totalisant 2 866 780€ d’aides</w:t>
                      </w:r>
                      <w:r>
                        <w:rPr>
                          <w:rFonts w:eastAsia="Arial" w:cs="Arial" w:ascii="Arial" w:hAnsi="Arial"/>
                          <w:b w:val="false"/>
                          <w:bCs w:val="false"/>
                          <w:color w:val="auto"/>
                          <w:sz w:val="20"/>
                          <w:szCs w:val="20"/>
                          <w:lang w:val="en-US" w:eastAsia="en-US" w:bidi="ar-SA"/>
                        </w:rPr>
                        <w:t>: EODA Réalisations à Pont-sur-Sambre et  MECAPROTEC à Noyelles-lez-Seclin.</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6954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r>
              <w:rPr>
                <w:b/>
                <w:bCs/>
                <w:sz w:val="20"/>
                <w:szCs w:val="20"/>
              </w:rPr>
              <w:t>: Hauts-de-France</w:t>
            </w:r>
            <w:bookmarkEnd w:id="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16675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15673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14810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6954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6521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6143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4080" cy="2425065"/>
                <wp:effectExtent l="0" t="0" r="0" b="0"/>
                <wp:wrapNone/>
                <wp:docPr id="25"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8245" cy="139065"/>
                <wp:effectExtent l="0" t="0" r="0" b="0"/>
                <wp:wrapNone/>
                <wp:docPr id="26"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4080" cy="2651125"/>
                <wp:effectExtent l="0" t="0" r="0" b="0"/>
                <wp:wrapNone/>
                <wp:docPr id="28"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r>
              <w:rPr>
                <w:b/>
                <w:bCs/>
                <w:sz w:val="20"/>
                <w:szCs w:val="20"/>
              </w:rPr>
              <w:t>: Hauts-de-France</w:t>
            </w:r>
            <w:bookmarkEnd w:id="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4080" cy="2425065"/>
                <wp:effectExtent l="0" t="0" r="0" b="0"/>
                <wp:wrapNone/>
                <wp:docPr id="30"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8245" cy="139065"/>
                <wp:effectExtent l="0" t="0" r="0" b="0"/>
                <wp:wrapNone/>
                <wp:docPr id="31"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4080" cy="2651125"/>
                <wp:effectExtent l="0" t="0" r="0" b="0"/>
                <wp:wrapNone/>
                <wp:docPr id="33"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24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r>
              <w:rPr>
                <w:b/>
                <w:bCs/>
                <w:sz w:val="20"/>
                <w:szCs w:val="20"/>
              </w:rPr>
              <w:t>: Hauts-de-France</w:t>
            </w:r>
            <w:bookmarkEnd w:id="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4080" cy="2425065"/>
                <wp:effectExtent l="0" t="0" r="0" b="0"/>
                <wp:wrapNone/>
                <wp:docPr id="35"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8245" cy="139065"/>
                <wp:effectExtent l="0" t="0" r="0" b="0"/>
                <wp:wrapNone/>
                <wp:docPr id="36"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65405</wp:posOffset>
                </wp:positionV>
                <wp:extent cx="5974080" cy="2651125"/>
                <wp:effectExtent l="0" t="0" r="0" b="0"/>
                <wp:wrapNone/>
                <wp:docPr id="38"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eastAsia="Calibri" w:cs="" w:cstheme="minorBidi" w:eastAsiaTheme="minorHAnsi"/>
                                <w:b/>
                                <w:b/>
                                <w:bCs/>
                                <w:color w:val="auto"/>
                                <w:sz w:val="20"/>
                                <w:szCs w:val="20"/>
                              </w:rPr>
                            </w:pPr>
                            <w:r>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C</w:t>
                            </w:r>
                            <w:r>
                              <w:rPr>
                                <w:rFonts w:eastAsia="Calibri" w:cs="" w:cstheme="minorBidi" w:eastAsiaTheme="minorHAnsi" w:ascii="Arial" w:hAnsi="Arial"/>
                                <w:b w:val="false"/>
                                <w:bCs w:val="false"/>
                                <w:color w:val="auto"/>
                                <w:sz w:val="20"/>
                                <w:szCs w:val="20"/>
                              </w:rPr>
                              <w:t>omme sur l’ensemble du territoire national, le lancement, en septembre dernier, des 2 appels à projet</w:t>
                            </w:r>
                            <w:r>
                              <w:rPr>
                                <w:rFonts w:eastAsia="Calibri" w:cs="" w:cstheme="minorBidi" w:eastAsiaTheme="minorHAnsi" w:ascii="Arial" w:hAnsi="Arial"/>
                                <w:b w:val="false"/>
                                <w:bCs w:val="false"/>
                                <w:color w:val="auto"/>
                                <w:sz w:val="20"/>
                                <w:szCs w:val="20"/>
                              </w:rPr>
                              <w:t>s</w:t>
                            </w:r>
                            <w:r>
                              <w:rPr>
                                <w:rFonts w:eastAsia="Calibri" w:cs="" w:cstheme="minorBidi" w:eastAsiaTheme="minorHAnsi" w:ascii="Arial" w:hAnsi="Arial"/>
                                <w:b w:val="false"/>
                                <w:bCs w:val="false"/>
                                <w:color w:val="auto"/>
                                <w:sz w:val="20"/>
                                <w:szCs w:val="20"/>
                              </w:rPr>
                              <w:t xml:space="preserve"> dans le cadre du plan France Relance a suscité dans le département un vif intérêt des services de l’État et de ses opérateurs. Sur les 4 214 projets retenus au niveau national pour un </w:t>
                            </w:r>
                            <w:r>
                              <w:rPr>
                                <w:rFonts w:eastAsia="Calibri" w:cs="" w:cstheme="minorBidi" w:eastAsiaTheme="minorHAnsi" w:ascii="Arial" w:hAnsi="Arial"/>
                                <w:b w:val="false"/>
                                <w:bCs w:val="false"/>
                                <w:color w:val="auto"/>
                                <w:sz w:val="20"/>
                                <w:szCs w:val="20"/>
                              </w:rPr>
                              <w:t xml:space="preserve">montant </w:t>
                            </w:r>
                            <w:r>
                              <w:rPr>
                                <w:rFonts w:eastAsia="Calibri" w:cs="" w:cstheme="minorBidi" w:eastAsiaTheme="minorHAnsi" w:ascii="Arial" w:hAnsi="Arial"/>
                                <w:b w:val="false"/>
                                <w:bCs w:val="false"/>
                                <w:color w:val="auto"/>
                                <w:sz w:val="20"/>
                                <w:szCs w:val="20"/>
                              </w:rPr>
                              <w:t xml:space="preserve">de 2,7 Mds €, </w:t>
                            </w:r>
                            <w:r>
                              <w:rPr>
                                <w:rFonts w:eastAsia="Calibri" w:cs="" w:cstheme="minorBidi" w:eastAsiaTheme="minorHAnsi" w:ascii="Arial" w:hAnsi="Arial"/>
                                <w:b w:val="false"/>
                                <w:bCs w:val="false"/>
                                <w:color w:val="auto"/>
                                <w:sz w:val="20"/>
                                <w:szCs w:val="20"/>
                              </w:rPr>
                              <w:t>87</w:t>
                            </w:r>
                            <w:r>
                              <w:rPr>
                                <w:rFonts w:eastAsia="Calibri" w:cs="" w:cstheme="minorBidi" w:eastAsiaTheme="minorHAnsi" w:ascii="Arial" w:hAnsi="Arial"/>
                                <w:b w:val="false"/>
                                <w:bCs w:val="false"/>
                                <w:color w:val="auto"/>
                                <w:sz w:val="20"/>
                                <w:szCs w:val="20"/>
                              </w:rPr>
                              <w:t xml:space="preserve"> projets l’ont été </w:t>
                            </w:r>
                            <w:r>
                              <w:rPr>
                                <w:rFonts w:eastAsia="Calibri" w:cs="" w:cstheme="minorBidi" w:eastAsiaTheme="minorHAnsi" w:ascii="Arial" w:hAnsi="Arial"/>
                                <w:b w:val="false"/>
                                <w:bCs w:val="false"/>
                                <w:color w:val="auto"/>
                                <w:sz w:val="20"/>
                                <w:szCs w:val="20"/>
                              </w:rPr>
                              <w:t>dans le Nord</w:t>
                            </w:r>
                            <w:r>
                              <w:rPr>
                                <w:rFonts w:eastAsia="Calibri" w:cs="" w:cstheme="minorBidi" w:eastAsiaTheme="minorHAnsi" w:ascii="Arial" w:hAnsi="Arial"/>
                                <w:b w:val="false"/>
                                <w:bCs w:val="false"/>
                                <w:color w:val="auto"/>
                                <w:sz w:val="20"/>
                                <w:szCs w:val="20"/>
                              </w:rPr>
                              <w:t xml:space="preserve">, pour un montant de </w:t>
                            </w:r>
                            <w:r>
                              <w:rPr>
                                <w:rFonts w:eastAsia="Calibri" w:cs="" w:cstheme="minorBidi" w:eastAsiaTheme="minorHAnsi" w:ascii="Arial" w:hAnsi="Arial"/>
                                <w:b w:val="false"/>
                                <w:bCs w:val="false"/>
                                <w:color w:val="auto"/>
                                <w:sz w:val="20"/>
                                <w:szCs w:val="20"/>
                              </w:rPr>
                              <w:t xml:space="preserve">115,4 M€ (sur </w:t>
                            </w:r>
                            <w:r>
                              <w:rPr>
                                <w:rFonts w:eastAsia="Calibri" w:cs="" w:cstheme="minorBidi" w:eastAsiaTheme="minorHAnsi" w:ascii="Arial" w:hAnsi="Arial"/>
                                <w:b w:val="false"/>
                                <w:bCs w:val="false"/>
                                <w:color w:val="auto"/>
                                <w:sz w:val="20"/>
                                <w:szCs w:val="20"/>
                              </w:rPr>
                              <w:t xml:space="preserve">139,2 M€ </w:t>
                            </w:r>
                            <w:r>
                              <w:rPr>
                                <w:rFonts w:eastAsia="Calibri" w:cs="" w:cstheme="minorBidi" w:eastAsiaTheme="minorHAnsi" w:ascii="Arial" w:hAnsi="Arial"/>
                                <w:b w:val="false"/>
                                <w:bCs w:val="false"/>
                                <w:color w:val="auto"/>
                                <w:sz w:val="20"/>
                                <w:szCs w:val="20"/>
                              </w:rPr>
                              <w:t xml:space="preserve">pour les Haut-de-France), </w:t>
                            </w:r>
                            <w:r>
                              <w:rPr>
                                <w:rFonts w:eastAsia="Calibri" w:cs="" w:cstheme="minorBidi" w:eastAsiaTheme="minorHAnsi" w:ascii="Arial" w:hAnsi="Arial"/>
                                <w:b w:val="false"/>
                                <w:bCs w:val="false"/>
                                <w:color w:val="auto"/>
                                <w:sz w:val="20"/>
                                <w:szCs w:val="20"/>
                              </w:rPr>
                              <w:t>répartis dans 31 communes.</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t xml:space="preserve">Les principaux projets retenus et engagés sont ceux de la </w:t>
                            </w:r>
                            <w:r>
                              <w:rPr>
                                <w:rFonts w:eastAsia="Calibri" w:cs="" w:cstheme="minorBidi" w:eastAsiaTheme="minorHAnsi" w:ascii="Arial" w:hAnsi="Arial"/>
                                <w:b w:val="false"/>
                                <w:bCs w:val="false"/>
                                <w:color w:val="auto"/>
                                <w:sz w:val="20"/>
                                <w:szCs w:val="20"/>
                              </w:rPr>
                              <w:t xml:space="preserve">Maison de l’État d’Avesnes sur Helpe, </w:t>
                            </w:r>
                            <w:r>
                              <w:rPr>
                                <w:rFonts w:eastAsia="Calibri" w:cs="" w:cstheme="minorBidi" w:eastAsiaTheme="minorHAnsi" w:ascii="Arial" w:hAnsi="Arial"/>
                                <w:b w:val="false"/>
                                <w:bCs w:val="false"/>
                                <w:color w:val="auto"/>
                                <w:sz w:val="20"/>
                                <w:szCs w:val="20"/>
                              </w:rPr>
                              <w:t xml:space="preserve">le site de la DDTM de Douai, le site </w:t>
                            </w:r>
                            <w:r>
                              <w:rPr>
                                <w:rFonts w:eastAsia="Calibri" w:cs="" w:cstheme="minorBidi" w:eastAsiaTheme="minorHAnsi" w:ascii="Arial" w:hAnsi="Arial"/>
                                <w:b w:val="false"/>
                                <w:bCs w:val="false"/>
                                <w:color w:val="auto"/>
                                <w:sz w:val="20"/>
                                <w:szCs w:val="20"/>
                              </w:rPr>
                              <w:t xml:space="preserve">Jacquemars Giélée </w:t>
                            </w:r>
                            <w:r>
                              <w:rPr>
                                <w:rFonts w:eastAsia="Calibri" w:cs="" w:cstheme="minorBidi" w:eastAsiaTheme="minorHAnsi" w:ascii="Arial" w:hAnsi="Arial"/>
                                <w:b w:val="false"/>
                                <w:bCs w:val="false"/>
                                <w:color w:val="auto"/>
                                <w:sz w:val="20"/>
                                <w:szCs w:val="20"/>
                              </w:rPr>
                              <w:t>de la préfecture du Nord et la Sous-préfecture de Cambrai.</w:t>
                            </w:r>
                            <w:r>
                              <w:rPr>
                                <w:rFonts w:eastAsia="Calibri" w:cs="" w:cstheme="minorBidi" w:eastAsiaTheme="minorHAnsi" w:ascii="Arial" w:hAnsi="Arial"/>
                                <w:b w:val="false"/>
                                <w:bCs w:val="false"/>
                                <w:color w:val="auto"/>
                                <w:sz w:val="20"/>
                                <w:szCs w:val="20"/>
                              </w:rPr>
                              <w:t xml:space="preserve">   </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t xml:space="preserve">Des </w:t>
                            </w:r>
                            <w:r>
                              <w:rPr>
                                <w:rFonts w:eastAsia="Calibri" w:cs="" w:cstheme="minorBidi" w:eastAsiaTheme="minorHAnsi" w:ascii="Arial" w:hAnsi="Arial"/>
                                <w:b w:val="false"/>
                                <w:bCs w:val="false"/>
                                <w:color w:val="auto"/>
                                <w:sz w:val="20"/>
                                <w:szCs w:val="20"/>
                              </w:rPr>
                              <w:t>surcoût</w:t>
                            </w:r>
                            <w:r>
                              <w:rPr>
                                <w:rFonts w:eastAsia="Calibri" w:cs="" w:cstheme="minorBidi" w:eastAsiaTheme="minorHAnsi" w:ascii="Arial" w:hAnsi="Arial"/>
                                <w:b w:val="false"/>
                                <w:bCs w:val="false"/>
                                <w:color w:val="auto"/>
                                <w:sz w:val="20"/>
                                <w:szCs w:val="20"/>
                              </w:rPr>
                              <w:t>s sont</w:t>
                            </w:r>
                            <w:r>
                              <w:rPr>
                                <w:rFonts w:eastAsia="Calibri" w:cs="" w:cstheme="minorBidi" w:eastAsiaTheme="minorHAnsi" w:ascii="Arial" w:hAnsi="Arial"/>
                                <w:b w:val="false"/>
                                <w:bCs w:val="false"/>
                                <w:color w:val="auto"/>
                                <w:sz w:val="20"/>
                                <w:szCs w:val="20"/>
                              </w:rPr>
                              <w:t xml:space="preserve"> p</w:t>
                            </w:r>
                            <w:r>
                              <w:rPr>
                                <w:rFonts w:eastAsia="Calibri" w:cs="" w:cstheme="minorBidi" w:eastAsiaTheme="minorHAnsi" w:ascii="Arial" w:hAnsi="Arial"/>
                                <w:b w:val="false"/>
                                <w:bCs w:val="false"/>
                                <w:color w:val="auto"/>
                                <w:sz w:val="20"/>
                                <w:szCs w:val="20"/>
                              </w:rPr>
                              <w:t>ossibles sur certains chantiers</w:t>
                            </w:r>
                            <w:r>
                              <w:rPr>
                                <w:rFonts w:eastAsia="Calibri" w:cs="" w:cstheme="minorBidi" w:eastAsiaTheme="minorHAnsi" w:ascii="Arial" w:hAnsi="Arial"/>
                                <w:b w:val="false"/>
                                <w:bCs w:val="false"/>
                                <w:color w:val="auto"/>
                                <w:sz w:val="20"/>
                                <w:szCs w:val="20"/>
                              </w:rPr>
                              <w:t xml:space="preserve"> </w:t>
                            </w:r>
                            <w:r>
                              <w:rPr>
                                <w:rFonts w:eastAsia="Calibri" w:cs="" w:cstheme="minorBidi" w:eastAsiaTheme="minorHAnsi" w:ascii="Arial" w:hAnsi="Arial"/>
                                <w:b w:val="false"/>
                                <w:bCs w:val="false"/>
                                <w:color w:val="auto"/>
                                <w:sz w:val="20"/>
                                <w:szCs w:val="20"/>
                              </w:rPr>
                              <w:t>car l</w:t>
                            </w:r>
                            <w:r>
                              <w:rPr>
                                <w:rFonts w:eastAsia="Calibri" w:cs="" w:cstheme="minorBidi" w:eastAsiaTheme="minorHAnsi" w:ascii="Arial" w:hAnsi="Arial"/>
                                <w:b w:val="false"/>
                                <w:bCs w:val="false"/>
                                <w:color w:val="auto"/>
                                <w:sz w:val="20"/>
                                <w:szCs w:val="20"/>
                              </w:rPr>
                              <w:t xml:space="preserve">e prix des matières premières est en train de flamber et le coût de la MOE est </w:t>
                            </w:r>
                            <w:r>
                              <w:rPr>
                                <w:rFonts w:eastAsia="Calibri" w:cs="" w:cstheme="minorBidi" w:eastAsiaTheme="minorHAnsi" w:ascii="Arial" w:hAnsi="Arial"/>
                                <w:b w:val="false"/>
                                <w:bCs w:val="false"/>
                                <w:color w:val="auto"/>
                                <w:sz w:val="20"/>
                                <w:szCs w:val="20"/>
                              </w:rPr>
                              <w:t xml:space="preserve">souvent </w:t>
                            </w:r>
                            <w:r>
                              <w:rPr>
                                <w:rFonts w:eastAsia="Calibri" w:cs="" w:cstheme="minorBidi" w:eastAsiaTheme="minorHAnsi" w:ascii="Arial" w:hAnsi="Arial"/>
                                <w:b w:val="false"/>
                                <w:bCs w:val="false"/>
                                <w:color w:val="auto"/>
                                <w:sz w:val="20"/>
                                <w:szCs w:val="20"/>
                              </w:rPr>
                              <w:t xml:space="preserve">supérieur aux estimations </w:t>
                            </w:r>
                            <w:r>
                              <w:rPr>
                                <w:rFonts w:eastAsia="Calibri" w:cs="" w:cstheme="minorBidi" w:eastAsiaTheme="minorHAnsi" w:ascii="Arial" w:hAnsi="Arial"/>
                                <w:b w:val="false"/>
                                <w:bCs w:val="false"/>
                                <w:color w:val="auto"/>
                                <w:sz w:val="20"/>
                                <w:szCs w:val="20"/>
                              </w:rPr>
                              <w:t>initiales</w:t>
                            </w:r>
                            <w:r>
                              <w:rPr>
                                <w:rFonts w:eastAsia="Calibri" w:cs="" w:cstheme="minorBidi" w:eastAsiaTheme="minorHAnsi" w:ascii="Arial" w:hAnsi="Arial"/>
                                <w:b w:val="false"/>
                                <w:bCs w:val="false"/>
                                <w:color w:val="auto"/>
                                <w:sz w:val="20"/>
                                <w:szCs w:val="20"/>
                              </w:rPr>
                              <w:t xml:space="preserve">. </w:t>
                            </w:r>
                            <w:r>
                              <w:rPr>
                                <w:rFonts w:eastAsia="Calibri" w:cs="" w:cstheme="minorBidi" w:eastAsiaTheme="minorHAnsi" w:ascii="Arial" w:hAnsi="Arial"/>
                                <w:b w:val="false"/>
                                <w:bCs w:val="false"/>
                                <w:color w:val="auto"/>
                                <w:sz w:val="20"/>
                                <w:szCs w:val="20"/>
                              </w:rPr>
                              <w:t>C</w:t>
                            </w:r>
                            <w:r>
                              <w:rPr>
                                <w:rFonts w:eastAsia="Calibri" w:cs="" w:cstheme="minorBidi" w:eastAsiaTheme="minorHAnsi" w:ascii="Arial" w:hAnsi="Arial"/>
                                <w:b w:val="false"/>
                                <w:bCs w:val="false"/>
                                <w:color w:val="auto"/>
                                <w:sz w:val="20"/>
                                <w:szCs w:val="20"/>
                              </w:rPr>
                              <w:t>es éléments sont à prendre en compte dans les négociations conduites par les services de l’Etat dans la passation des marchés publics.</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5.15pt;width:470.3pt;height:208.65pt">
                <w10:wrap type="square"/>
                <v:fill o:detectmouseclick="t" on="false"/>
                <v:stroke color="#3465a4" joinstyle="round" endcap="flat"/>
                <v:textbox>
                  <w:txbxContent>
                    <w:p>
                      <w:pPr>
                        <w:pStyle w:val="Contenudecadre"/>
                        <w:overflowPunct w:val="true"/>
                        <w:spacing w:lineRule="auto" w:line="240" w:before="0" w:after="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eastAsia="Calibri" w:cs="" w:cstheme="minorBidi" w:eastAsiaTheme="minorHAnsi"/>
                          <w:b/>
                          <w:b/>
                          <w:bCs/>
                          <w:color w:val="auto"/>
                          <w:sz w:val="20"/>
                          <w:szCs w:val="20"/>
                        </w:rPr>
                      </w:pPr>
                      <w:r>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C</w:t>
                      </w:r>
                      <w:r>
                        <w:rPr>
                          <w:rFonts w:eastAsia="Calibri" w:cs="" w:cstheme="minorBidi" w:eastAsiaTheme="minorHAnsi" w:ascii="Arial" w:hAnsi="Arial"/>
                          <w:b w:val="false"/>
                          <w:bCs w:val="false"/>
                          <w:color w:val="auto"/>
                          <w:sz w:val="20"/>
                          <w:szCs w:val="20"/>
                        </w:rPr>
                        <w:t>omme sur l’ensemble du territoire national, le lancement, en septembre dernier, des 2 appels à projet</w:t>
                      </w:r>
                      <w:r>
                        <w:rPr>
                          <w:rFonts w:eastAsia="Calibri" w:cs="" w:cstheme="minorBidi" w:eastAsiaTheme="minorHAnsi" w:ascii="Arial" w:hAnsi="Arial"/>
                          <w:b w:val="false"/>
                          <w:bCs w:val="false"/>
                          <w:color w:val="auto"/>
                          <w:sz w:val="20"/>
                          <w:szCs w:val="20"/>
                        </w:rPr>
                        <w:t>s</w:t>
                      </w:r>
                      <w:r>
                        <w:rPr>
                          <w:rFonts w:eastAsia="Calibri" w:cs="" w:cstheme="minorBidi" w:eastAsiaTheme="minorHAnsi" w:ascii="Arial" w:hAnsi="Arial"/>
                          <w:b w:val="false"/>
                          <w:bCs w:val="false"/>
                          <w:color w:val="auto"/>
                          <w:sz w:val="20"/>
                          <w:szCs w:val="20"/>
                        </w:rPr>
                        <w:t xml:space="preserve"> dans le cadre du plan France Relance a suscité dans le département un vif intérêt des services de l’État et de ses opérateurs. Sur les 4 214 projets retenus au niveau national pour un </w:t>
                      </w:r>
                      <w:r>
                        <w:rPr>
                          <w:rFonts w:eastAsia="Calibri" w:cs="" w:cstheme="minorBidi" w:eastAsiaTheme="minorHAnsi" w:ascii="Arial" w:hAnsi="Arial"/>
                          <w:b w:val="false"/>
                          <w:bCs w:val="false"/>
                          <w:color w:val="auto"/>
                          <w:sz w:val="20"/>
                          <w:szCs w:val="20"/>
                        </w:rPr>
                        <w:t xml:space="preserve">montant </w:t>
                      </w:r>
                      <w:r>
                        <w:rPr>
                          <w:rFonts w:eastAsia="Calibri" w:cs="" w:cstheme="minorBidi" w:eastAsiaTheme="minorHAnsi" w:ascii="Arial" w:hAnsi="Arial"/>
                          <w:b w:val="false"/>
                          <w:bCs w:val="false"/>
                          <w:color w:val="auto"/>
                          <w:sz w:val="20"/>
                          <w:szCs w:val="20"/>
                        </w:rPr>
                        <w:t xml:space="preserve">de 2,7 Mds €, </w:t>
                      </w:r>
                      <w:r>
                        <w:rPr>
                          <w:rFonts w:eastAsia="Calibri" w:cs="" w:cstheme="minorBidi" w:eastAsiaTheme="minorHAnsi" w:ascii="Arial" w:hAnsi="Arial"/>
                          <w:b w:val="false"/>
                          <w:bCs w:val="false"/>
                          <w:color w:val="auto"/>
                          <w:sz w:val="20"/>
                          <w:szCs w:val="20"/>
                        </w:rPr>
                        <w:t>87</w:t>
                      </w:r>
                      <w:r>
                        <w:rPr>
                          <w:rFonts w:eastAsia="Calibri" w:cs="" w:cstheme="minorBidi" w:eastAsiaTheme="minorHAnsi" w:ascii="Arial" w:hAnsi="Arial"/>
                          <w:b w:val="false"/>
                          <w:bCs w:val="false"/>
                          <w:color w:val="auto"/>
                          <w:sz w:val="20"/>
                          <w:szCs w:val="20"/>
                        </w:rPr>
                        <w:t xml:space="preserve"> projets l’ont été </w:t>
                      </w:r>
                      <w:r>
                        <w:rPr>
                          <w:rFonts w:eastAsia="Calibri" w:cs="" w:cstheme="minorBidi" w:eastAsiaTheme="minorHAnsi" w:ascii="Arial" w:hAnsi="Arial"/>
                          <w:b w:val="false"/>
                          <w:bCs w:val="false"/>
                          <w:color w:val="auto"/>
                          <w:sz w:val="20"/>
                          <w:szCs w:val="20"/>
                        </w:rPr>
                        <w:t>dans le Nord</w:t>
                      </w:r>
                      <w:r>
                        <w:rPr>
                          <w:rFonts w:eastAsia="Calibri" w:cs="" w:cstheme="minorBidi" w:eastAsiaTheme="minorHAnsi" w:ascii="Arial" w:hAnsi="Arial"/>
                          <w:b w:val="false"/>
                          <w:bCs w:val="false"/>
                          <w:color w:val="auto"/>
                          <w:sz w:val="20"/>
                          <w:szCs w:val="20"/>
                        </w:rPr>
                        <w:t xml:space="preserve">, pour un montant de </w:t>
                      </w:r>
                      <w:r>
                        <w:rPr>
                          <w:rFonts w:eastAsia="Calibri" w:cs="" w:cstheme="minorBidi" w:eastAsiaTheme="minorHAnsi" w:ascii="Arial" w:hAnsi="Arial"/>
                          <w:b w:val="false"/>
                          <w:bCs w:val="false"/>
                          <w:color w:val="auto"/>
                          <w:sz w:val="20"/>
                          <w:szCs w:val="20"/>
                        </w:rPr>
                        <w:t xml:space="preserve">115,4 M€ (sur </w:t>
                      </w:r>
                      <w:r>
                        <w:rPr>
                          <w:rFonts w:eastAsia="Calibri" w:cs="" w:cstheme="minorBidi" w:eastAsiaTheme="minorHAnsi" w:ascii="Arial" w:hAnsi="Arial"/>
                          <w:b w:val="false"/>
                          <w:bCs w:val="false"/>
                          <w:color w:val="auto"/>
                          <w:sz w:val="20"/>
                          <w:szCs w:val="20"/>
                        </w:rPr>
                        <w:t xml:space="preserve">139,2 M€ </w:t>
                      </w:r>
                      <w:r>
                        <w:rPr>
                          <w:rFonts w:eastAsia="Calibri" w:cs="" w:cstheme="minorBidi" w:eastAsiaTheme="minorHAnsi" w:ascii="Arial" w:hAnsi="Arial"/>
                          <w:b w:val="false"/>
                          <w:bCs w:val="false"/>
                          <w:color w:val="auto"/>
                          <w:sz w:val="20"/>
                          <w:szCs w:val="20"/>
                        </w:rPr>
                        <w:t xml:space="preserve">pour les Haut-de-France), </w:t>
                      </w:r>
                      <w:r>
                        <w:rPr>
                          <w:rFonts w:eastAsia="Calibri" w:cs="" w:cstheme="minorBidi" w:eastAsiaTheme="minorHAnsi" w:ascii="Arial" w:hAnsi="Arial"/>
                          <w:b w:val="false"/>
                          <w:bCs w:val="false"/>
                          <w:color w:val="auto"/>
                          <w:sz w:val="20"/>
                          <w:szCs w:val="20"/>
                        </w:rPr>
                        <w:t>répartis dans 31 communes.</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t xml:space="preserve">Les principaux projets retenus et engagés sont ceux de la </w:t>
                      </w:r>
                      <w:r>
                        <w:rPr>
                          <w:rFonts w:eastAsia="Calibri" w:cs="" w:cstheme="minorBidi" w:eastAsiaTheme="minorHAnsi" w:ascii="Arial" w:hAnsi="Arial"/>
                          <w:b w:val="false"/>
                          <w:bCs w:val="false"/>
                          <w:color w:val="auto"/>
                          <w:sz w:val="20"/>
                          <w:szCs w:val="20"/>
                        </w:rPr>
                        <w:t xml:space="preserve">Maison de l’État d’Avesnes sur Helpe, </w:t>
                      </w:r>
                      <w:r>
                        <w:rPr>
                          <w:rFonts w:eastAsia="Calibri" w:cs="" w:cstheme="minorBidi" w:eastAsiaTheme="minorHAnsi" w:ascii="Arial" w:hAnsi="Arial"/>
                          <w:b w:val="false"/>
                          <w:bCs w:val="false"/>
                          <w:color w:val="auto"/>
                          <w:sz w:val="20"/>
                          <w:szCs w:val="20"/>
                        </w:rPr>
                        <w:t xml:space="preserve">le site de la DDTM de Douai, le site </w:t>
                      </w:r>
                      <w:r>
                        <w:rPr>
                          <w:rFonts w:eastAsia="Calibri" w:cs="" w:cstheme="minorBidi" w:eastAsiaTheme="minorHAnsi" w:ascii="Arial" w:hAnsi="Arial"/>
                          <w:b w:val="false"/>
                          <w:bCs w:val="false"/>
                          <w:color w:val="auto"/>
                          <w:sz w:val="20"/>
                          <w:szCs w:val="20"/>
                        </w:rPr>
                        <w:t xml:space="preserve">Jacquemars Giélée </w:t>
                      </w:r>
                      <w:r>
                        <w:rPr>
                          <w:rFonts w:eastAsia="Calibri" w:cs="" w:cstheme="minorBidi" w:eastAsiaTheme="minorHAnsi" w:ascii="Arial" w:hAnsi="Arial"/>
                          <w:b w:val="false"/>
                          <w:bCs w:val="false"/>
                          <w:color w:val="auto"/>
                          <w:sz w:val="20"/>
                          <w:szCs w:val="20"/>
                        </w:rPr>
                        <w:t>de la préfecture du Nord et la Sous-préfecture de Cambrai.</w:t>
                      </w:r>
                      <w:r>
                        <w:rPr>
                          <w:rFonts w:eastAsia="Calibri" w:cs="" w:cstheme="minorBidi" w:eastAsiaTheme="minorHAnsi" w:ascii="Arial" w:hAnsi="Arial"/>
                          <w:b w:val="false"/>
                          <w:bCs w:val="false"/>
                          <w:color w:val="auto"/>
                          <w:sz w:val="20"/>
                          <w:szCs w:val="20"/>
                        </w:rPr>
                        <w:t xml:space="preserve">   </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sz w:val="20"/>
                          <w:szCs w:val="20"/>
                        </w:rPr>
                      </w:pPr>
                      <w:r>
                        <w:rPr>
                          <w:rFonts w:eastAsia="Calibri" w:cs="" w:cstheme="minorBidi" w:eastAsiaTheme="minorHAnsi" w:ascii="Arial" w:hAnsi="Arial"/>
                          <w:b w:val="false"/>
                          <w:bCs w:val="false"/>
                          <w:color w:val="auto"/>
                          <w:sz w:val="20"/>
                          <w:szCs w:val="20"/>
                        </w:rPr>
                        <w:t xml:space="preserve">Des </w:t>
                      </w:r>
                      <w:r>
                        <w:rPr>
                          <w:rFonts w:eastAsia="Calibri" w:cs="" w:cstheme="minorBidi" w:eastAsiaTheme="minorHAnsi" w:ascii="Arial" w:hAnsi="Arial"/>
                          <w:b w:val="false"/>
                          <w:bCs w:val="false"/>
                          <w:color w:val="auto"/>
                          <w:sz w:val="20"/>
                          <w:szCs w:val="20"/>
                        </w:rPr>
                        <w:t>surcoût</w:t>
                      </w:r>
                      <w:r>
                        <w:rPr>
                          <w:rFonts w:eastAsia="Calibri" w:cs="" w:cstheme="minorBidi" w:eastAsiaTheme="minorHAnsi" w:ascii="Arial" w:hAnsi="Arial"/>
                          <w:b w:val="false"/>
                          <w:bCs w:val="false"/>
                          <w:color w:val="auto"/>
                          <w:sz w:val="20"/>
                          <w:szCs w:val="20"/>
                        </w:rPr>
                        <w:t>s sont</w:t>
                      </w:r>
                      <w:r>
                        <w:rPr>
                          <w:rFonts w:eastAsia="Calibri" w:cs="" w:cstheme="minorBidi" w:eastAsiaTheme="minorHAnsi" w:ascii="Arial" w:hAnsi="Arial"/>
                          <w:b w:val="false"/>
                          <w:bCs w:val="false"/>
                          <w:color w:val="auto"/>
                          <w:sz w:val="20"/>
                          <w:szCs w:val="20"/>
                        </w:rPr>
                        <w:t xml:space="preserve"> p</w:t>
                      </w:r>
                      <w:r>
                        <w:rPr>
                          <w:rFonts w:eastAsia="Calibri" w:cs="" w:cstheme="minorBidi" w:eastAsiaTheme="minorHAnsi" w:ascii="Arial" w:hAnsi="Arial"/>
                          <w:b w:val="false"/>
                          <w:bCs w:val="false"/>
                          <w:color w:val="auto"/>
                          <w:sz w:val="20"/>
                          <w:szCs w:val="20"/>
                        </w:rPr>
                        <w:t>ossibles sur certains chantiers</w:t>
                      </w:r>
                      <w:r>
                        <w:rPr>
                          <w:rFonts w:eastAsia="Calibri" w:cs="" w:cstheme="minorBidi" w:eastAsiaTheme="minorHAnsi" w:ascii="Arial" w:hAnsi="Arial"/>
                          <w:b w:val="false"/>
                          <w:bCs w:val="false"/>
                          <w:color w:val="auto"/>
                          <w:sz w:val="20"/>
                          <w:szCs w:val="20"/>
                        </w:rPr>
                        <w:t xml:space="preserve"> </w:t>
                      </w:r>
                      <w:r>
                        <w:rPr>
                          <w:rFonts w:eastAsia="Calibri" w:cs="" w:cstheme="minorBidi" w:eastAsiaTheme="minorHAnsi" w:ascii="Arial" w:hAnsi="Arial"/>
                          <w:b w:val="false"/>
                          <w:bCs w:val="false"/>
                          <w:color w:val="auto"/>
                          <w:sz w:val="20"/>
                          <w:szCs w:val="20"/>
                        </w:rPr>
                        <w:t>car l</w:t>
                      </w:r>
                      <w:r>
                        <w:rPr>
                          <w:rFonts w:eastAsia="Calibri" w:cs="" w:cstheme="minorBidi" w:eastAsiaTheme="minorHAnsi" w:ascii="Arial" w:hAnsi="Arial"/>
                          <w:b w:val="false"/>
                          <w:bCs w:val="false"/>
                          <w:color w:val="auto"/>
                          <w:sz w:val="20"/>
                          <w:szCs w:val="20"/>
                        </w:rPr>
                        <w:t xml:space="preserve">e prix des matières premières est en train de flamber et le coût de la MOE est </w:t>
                      </w:r>
                      <w:r>
                        <w:rPr>
                          <w:rFonts w:eastAsia="Calibri" w:cs="" w:cstheme="minorBidi" w:eastAsiaTheme="minorHAnsi" w:ascii="Arial" w:hAnsi="Arial"/>
                          <w:b w:val="false"/>
                          <w:bCs w:val="false"/>
                          <w:color w:val="auto"/>
                          <w:sz w:val="20"/>
                          <w:szCs w:val="20"/>
                        </w:rPr>
                        <w:t xml:space="preserve">souvent </w:t>
                      </w:r>
                      <w:r>
                        <w:rPr>
                          <w:rFonts w:eastAsia="Calibri" w:cs="" w:cstheme="minorBidi" w:eastAsiaTheme="minorHAnsi" w:ascii="Arial" w:hAnsi="Arial"/>
                          <w:b w:val="false"/>
                          <w:bCs w:val="false"/>
                          <w:color w:val="auto"/>
                          <w:sz w:val="20"/>
                          <w:szCs w:val="20"/>
                        </w:rPr>
                        <w:t xml:space="preserve">supérieur aux estimations </w:t>
                      </w:r>
                      <w:r>
                        <w:rPr>
                          <w:rFonts w:eastAsia="Calibri" w:cs="" w:cstheme="minorBidi" w:eastAsiaTheme="minorHAnsi" w:ascii="Arial" w:hAnsi="Arial"/>
                          <w:b w:val="false"/>
                          <w:bCs w:val="false"/>
                          <w:color w:val="auto"/>
                          <w:sz w:val="20"/>
                          <w:szCs w:val="20"/>
                        </w:rPr>
                        <w:t>initiales</w:t>
                      </w:r>
                      <w:r>
                        <w:rPr>
                          <w:rFonts w:eastAsia="Calibri" w:cs="" w:cstheme="minorBidi" w:eastAsiaTheme="minorHAnsi" w:ascii="Arial" w:hAnsi="Arial"/>
                          <w:b w:val="false"/>
                          <w:bCs w:val="false"/>
                          <w:color w:val="auto"/>
                          <w:sz w:val="20"/>
                          <w:szCs w:val="20"/>
                        </w:rPr>
                        <w:t xml:space="preserve">. </w:t>
                      </w:r>
                      <w:r>
                        <w:rPr>
                          <w:rFonts w:eastAsia="Calibri" w:cs="" w:cstheme="minorBidi" w:eastAsiaTheme="minorHAnsi" w:ascii="Arial" w:hAnsi="Arial"/>
                          <w:b w:val="false"/>
                          <w:bCs w:val="false"/>
                          <w:color w:val="auto"/>
                          <w:sz w:val="20"/>
                          <w:szCs w:val="20"/>
                        </w:rPr>
                        <w:t>C</w:t>
                      </w:r>
                      <w:r>
                        <w:rPr>
                          <w:rFonts w:eastAsia="Calibri" w:cs="" w:cstheme="minorBidi" w:eastAsiaTheme="minorHAnsi" w:ascii="Arial" w:hAnsi="Arial"/>
                          <w:b w:val="false"/>
                          <w:bCs w:val="false"/>
                          <w:color w:val="auto"/>
                          <w:sz w:val="20"/>
                          <w:szCs w:val="20"/>
                        </w:rPr>
                        <w:t>es éléments sont à prendre en compte dans les négociations conduites par les services de l’Etat dans la passation des marchés publics.</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79490" cy="6490335"/>
                <wp:effectExtent l="0" t="0" r="0" b="0"/>
                <wp:wrapNone/>
                <wp:docPr id="40" name="Forme1"/>
                <a:graphic xmlns:a="http://schemas.openxmlformats.org/drawingml/2006/main">
                  <a:graphicData uri="http://schemas.microsoft.com/office/word/2010/wordprocessingShape">
                    <wps:wsp>
                      <wps:cNvSpPr/>
                      <wps:spPr>
                        <a:xfrm>
                          <a:off x="0" y="0"/>
                          <a:ext cx="6078960" cy="648972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jc w:val="both"/>
                              <w:rPr/>
                            </w:pPr>
                            <w:r>
                              <w:rPr/>
                              <w:t xml:space="preserve">Les appels à projets en direction des entreprises tels que « le soutien aux projets industriels des territoires » et « la sécurité des approvisionnements critiques » connaissent un réel succès, qui se traduit par la consommation rapide des enveloppes initiales et la nécessité de les réabonder par un mécanisme de redéploiement des crédits entre mesures du plan de relance.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Le</w:t>
                            </w:r>
                            <w:r>
                              <w:rPr/>
                              <w:t xml:space="preserve">s modalités </w:t>
                            </w:r>
                            <w:r>
                              <w:rPr/>
                              <w:t>de communication des résultats des appels à projets (annonce des lauréats et des candidats rejetés</w:t>
                            </w:r>
                            <w:r>
                              <w:rPr/>
                              <w:t>)</w:t>
                            </w:r>
                            <w:r>
                              <w:rPr/>
                              <w:t xml:space="preserve"> et </w:t>
                            </w:r>
                            <w:r>
                              <w:rPr/>
                              <w:t xml:space="preserve">de </w:t>
                            </w:r>
                            <w:r>
                              <w:rPr/>
                              <w:t>notification des aides mériterai</w:t>
                            </w:r>
                            <w:r>
                              <w:rPr/>
                              <w:t>en</w:t>
                            </w:r>
                            <w:r>
                              <w:rPr/>
                              <w:t xml:space="preserve">t cependant d’être </w:t>
                            </w:r>
                            <w:r>
                              <w:rPr/>
                              <w:t xml:space="preserve">simplifiées et le délai </w:t>
                            </w:r>
                            <w:r>
                              <w:rPr/>
                              <w:t>raccourci.</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 xml:space="preserve">D’autres dispositifs comme l’assurance prospection ou </w:t>
                            </w:r>
                            <w:r>
                              <w:rPr/>
                              <w:t>le renforcement des subventions Business France semblent moins connus des entreprises.</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6pt;height:510.95pt">
                <w10:wrap type="square"/>
                <v:fill o:detectmouseclick="t" on="false"/>
                <v:stroke color="black" joinstyle="round" endcap="flat"/>
                <v:textbox>
                  <w:txbxContent>
                    <w:p>
                      <w:pPr>
                        <w:pStyle w:val="Contenudecadre"/>
                        <w:overflowPunct w:val="tru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jc w:val="both"/>
                        <w:rPr/>
                      </w:pPr>
                      <w:r>
                        <w:rPr/>
                        <w:t xml:space="preserve">Les appels à projets en direction des entreprises tels que « le soutien aux projets industriels des territoires » et « la sécurité des approvisionnements critiques » connaissent un réel succès, qui se traduit par la consommation rapide des enveloppes initiales et la nécessité de les réabonder par un mécanisme de redéploiement des crédits entre mesures du plan de relance.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Le</w:t>
                      </w:r>
                      <w:r>
                        <w:rPr/>
                        <w:t xml:space="preserve">s modalités </w:t>
                      </w:r>
                      <w:r>
                        <w:rPr/>
                        <w:t>de communication des résultats des appels à projets (annonce des lauréats et des candidats rejetés</w:t>
                      </w:r>
                      <w:r>
                        <w:rPr/>
                        <w:t>)</w:t>
                      </w:r>
                      <w:r>
                        <w:rPr/>
                        <w:t xml:space="preserve"> et </w:t>
                      </w:r>
                      <w:r>
                        <w:rPr/>
                        <w:t xml:space="preserve">de </w:t>
                      </w:r>
                      <w:r>
                        <w:rPr/>
                        <w:t>notification des aides mériterai</w:t>
                      </w:r>
                      <w:r>
                        <w:rPr/>
                        <w:t>en</w:t>
                      </w:r>
                      <w:r>
                        <w:rPr/>
                        <w:t xml:space="preserve">t cependant d’être </w:t>
                      </w:r>
                      <w:r>
                        <w:rPr/>
                        <w:t xml:space="preserve">simplifiées et le délai </w:t>
                      </w:r>
                      <w:r>
                        <w:rPr/>
                        <w:t>raccourci.</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 xml:space="preserve">D’autres dispositifs comme l’assurance prospection ou </w:t>
                      </w:r>
                      <w:r>
                        <w:rPr/>
                        <w:t>le renforcement des subventions Business France semblent moins connus des entreprises.</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6655" cy="139065"/>
                <wp:effectExtent l="0" t="0" r="0" b="0"/>
                <wp:wrapNone/>
                <wp:docPr id="42" name="Forme2"/>
                <a:graphic xmlns:a="http://schemas.openxmlformats.org/drawingml/2006/main">
                  <a:graphicData uri="http://schemas.microsoft.com/office/word/2010/wordprocessingShape">
                    <wps:wsp>
                      <wps:cNvSpPr/>
                      <wps:spPr>
                        <a:xfrm>
                          <a:off x="0" y="0"/>
                          <a:ext cx="75261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5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r>
              <w:rPr>
                <w:b/>
                <w:bCs/>
                <w:sz w:val="20"/>
                <w:szCs w:val="20"/>
              </w:rPr>
              <w:t>: Hauts-de-France</w:t>
            </w:r>
            <w:bookmarkEnd w:id="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4080" cy="2425065"/>
                <wp:effectExtent l="0" t="0" r="0" b="0"/>
                <wp:wrapNone/>
                <wp:docPr id="44"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8245" cy="139065"/>
                <wp:effectExtent l="0" t="0" r="0" b="0"/>
                <wp:wrapNone/>
                <wp:docPr id="45"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4080" cy="2651125"/>
                <wp:effectExtent l="0" t="0" r="0" b="0"/>
                <wp:wrapNone/>
                <wp:docPr id="47"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614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r>
              <w:rPr>
                <w:b/>
                <w:bCs/>
                <w:sz w:val="20"/>
                <w:szCs w:val="20"/>
              </w:rPr>
              <w:t>: Hauts-de-France</w:t>
            </w:r>
            <w:bookmarkEnd w:id="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796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4080" cy="2425065"/>
                <wp:effectExtent l="0" t="0" r="0" b="0"/>
                <wp:wrapNone/>
                <wp:docPr id="49"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8245" cy="139065"/>
                <wp:effectExtent l="0" t="0" r="0" b="0"/>
                <wp:wrapNone/>
                <wp:docPr id="50"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4080" cy="2651125"/>
                <wp:effectExtent l="0" t="0" r="0" b="0"/>
                <wp:wrapNone/>
                <wp:docPr id="52"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r>
              <w:rPr>
                <w:b/>
                <w:bCs/>
                <w:sz w:val="20"/>
                <w:szCs w:val="20"/>
              </w:rPr>
              <w:t>: Hauts-de-France</w:t>
            </w:r>
            <w:bookmarkEnd w:id="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4080" cy="2425065"/>
                <wp:effectExtent l="0" t="0" r="0" b="0"/>
                <wp:wrapNone/>
                <wp:docPr id="54"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8245" cy="139065"/>
                <wp:effectExtent l="0" t="0" r="0" b="0"/>
                <wp:wrapNone/>
                <wp:docPr id="55"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4080" cy="2651125"/>
                <wp:effectExtent l="0" t="0" r="0" b="0"/>
                <wp:wrapNone/>
                <wp:docPr id="57"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Normal"/>
                              <w:bidi w:val="0"/>
                              <w:spacing w:lineRule="auto" w:line="240" w:before="0" w:after="0"/>
                              <w:ind w:left="0" w:right="0" w:hanging="0"/>
                              <w:jc w:val="both"/>
                              <w:textAlignment w:val="auto"/>
                              <w:rPr/>
                            </w:pPr>
                            <w:r>
                              <w:rPr>
                                <w:rFonts w:eastAsia="Arial" w:cs="Arial" w:ascii="Arial" w:hAnsi="Arial"/>
                                <w:b/>
                                <w:bCs/>
                                <w:color w:val="auto"/>
                                <w:sz w:val="20"/>
                                <w:szCs w:val="20"/>
                                <w:lang w:val="en-US" w:eastAsia="en-US" w:bidi="ar-SA"/>
                              </w:rPr>
                              <w:t>17 dossiers ont été retenus</w:t>
                            </w:r>
                            <w:r>
                              <w:rPr>
                                <w:rFonts w:eastAsia="Arial" w:cs="Arial" w:ascii="Arial" w:hAnsi="Arial"/>
                                <w:b w:val="false"/>
                                <w:bCs w:val="false"/>
                                <w:color w:val="auto"/>
                                <w:sz w:val="20"/>
                                <w:szCs w:val="20"/>
                                <w:lang w:val="en-US" w:eastAsia="en-US" w:bidi="ar-SA"/>
                              </w:rPr>
                              <w:t xml:space="preserve"> </w:t>
                            </w:r>
                            <w:r>
                              <w:rPr>
                                <w:rFonts w:eastAsia="Arial" w:cs="Arial" w:ascii="Arial" w:hAnsi="Arial"/>
                                <w:b/>
                                <w:bCs/>
                                <w:color w:val="auto"/>
                                <w:sz w:val="20"/>
                                <w:szCs w:val="20"/>
                                <w:lang w:val="en-US" w:eastAsia="en-US" w:bidi="ar-SA"/>
                              </w:rPr>
                              <w:t>pour un montant total d’aide accordé de 9 780 000€</w:t>
                            </w:r>
                            <w:r>
                              <w:rPr>
                                <w:rFonts w:eastAsia="Arial" w:cs="Arial" w:ascii="Arial" w:hAnsi="Arial"/>
                                <w:b w:val="false"/>
                                <w:bCs w:val="false"/>
                                <w:color w:val="auto"/>
                                <w:sz w:val="20"/>
                                <w:szCs w:val="20"/>
                                <w:lang w:val="en-US" w:eastAsia="en-US" w:bidi="ar-SA"/>
                              </w:rPr>
                              <w:t xml:space="preserve"> représentant un montant total d’investissement de plus de 136 M€.</w:t>
                            </w:r>
                          </w:p>
                          <w:p>
                            <w:pPr>
                              <w:pStyle w:val="Normal"/>
                              <w:bidi w:val="0"/>
                              <w:spacing w:lineRule="auto" w:line="240"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
                          </w:p>
                          <w:p>
                            <w:pPr>
                              <w:pStyle w:val="Corpsdetext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Les bénéficiaires sont les entreprises </w:t>
                            </w:r>
                            <w:r>
                              <w:rPr>
                                <w:rFonts w:eastAsia="Arial" w:cs="Arial" w:ascii="Arial" w:hAnsi="Arial"/>
                                <w:b w:val="false"/>
                                <w:bCs w:val="false"/>
                                <w:color w:val="auto"/>
                                <w:sz w:val="20"/>
                                <w:szCs w:val="20"/>
                                <w:lang w:val="en-US" w:eastAsia="en-US" w:bidi="ar-SA"/>
                              </w:rPr>
                              <w:t xml:space="preserve">AXSYSTEM à Bailleul, NIDAPLAST HONEYCOMBS à Thiant, SIG LOG’s à Denain, EUROCAVE à Fourmies, ORT SOLUTIONS à Bavay, CEF (Centre d’Essai Ferroviaire) à Petite Forêt, SPAC à Neuville-sur-Escaut, PANDROL à Raismes, VAN ROBAYES à Killem , BOMBARDIER à Crespin, LENER CORDIER à Hazebrouck, SETRACO à Aniche, LES HEBIHENS pour un projet d’entrepôt logisitique sur Cambrai, SOCIETE DES NOUVELLES COULEURS ZINCIQUES à Neuville-sur-Escaut, TEXTILES DES DUNES à Steenvoorde, CLAYRTON’S à Roubaix </w:t>
                            </w:r>
                            <w:r>
                              <w:rPr>
                                <w:rFonts w:eastAsia="Arial" w:cs="Arial" w:ascii="Arial" w:hAnsi="Arial"/>
                                <w:b w:val="false"/>
                                <w:bCs w:val="false"/>
                                <w:color w:val="auto"/>
                                <w:sz w:val="20"/>
                                <w:szCs w:val="20"/>
                                <w:lang w:val="en-US" w:eastAsia="en-US" w:bidi="ar-SA"/>
                              </w:rPr>
                              <w:t>et</w:t>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HIOLLE INDUSTRIES à Prouvy.</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Normal"/>
                        <w:bidi w:val="0"/>
                        <w:spacing w:lineRule="auto" w:line="240" w:before="0" w:after="0"/>
                        <w:ind w:left="0" w:right="0" w:hanging="0"/>
                        <w:jc w:val="both"/>
                        <w:textAlignment w:val="auto"/>
                        <w:rPr/>
                      </w:pPr>
                      <w:r>
                        <w:rPr>
                          <w:rFonts w:eastAsia="Arial" w:cs="Arial" w:ascii="Arial" w:hAnsi="Arial"/>
                          <w:b/>
                          <w:bCs/>
                          <w:color w:val="auto"/>
                          <w:sz w:val="20"/>
                          <w:szCs w:val="20"/>
                          <w:lang w:val="en-US" w:eastAsia="en-US" w:bidi="ar-SA"/>
                        </w:rPr>
                        <w:t>17 dossiers ont été retenus</w:t>
                      </w:r>
                      <w:r>
                        <w:rPr>
                          <w:rFonts w:eastAsia="Arial" w:cs="Arial" w:ascii="Arial" w:hAnsi="Arial"/>
                          <w:b w:val="false"/>
                          <w:bCs w:val="false"/>
                          <w:color w:val="auto"/>
                          <w:sz w:val="20"/>
                          <w:szCs w:val="20"/>
                          <w:lang w:val="en-US" w:eastAsia="en-US" w:bidi="ar-SA"/>
                        </w:rPr>
                        <w:t xml:space="preserve"> </w:t>
                      </w:r>
                      <w:r>
                        <w:rPr>
                          <w:rFonts w:eastAsia="Arial" w:cs="Arial" w:ascii="Arial" w:hAnsi="Arial"/>
                          <w:b/>
                          <w:bCs/>
                          <w:color w:val="auto"/>
                          <w:sz w:val="20"/>
                          <w:szCs w:val="20"/>
                          <w:lang w:val="en-US" w:eastAsia="en-US" w:bidi="ar-SA"/>
                        </w:rPr>
                        <w:t>pour un montant total d’aide accordé de 9 780 000€</w:t>
                      </w:r>
                      <w:r>
                        <w:rPr>
                          <w:rFonts w:eastAsia="Arial" w:cs="Arial" w:ascii="Arial" w:hAnsi="Arial"/>
                          <w:b w:val="false"/>
                          <w:bCs w:val="false"/>
                          <w:color w:val="auto"/>
                          <w:sz w:val="20"/>
                          <w:szCs w:val="20"/>
                          <w:lang w:val="en-US" w:eastAsia="en-US" w:bidi="ar-SA"/>
                        </w:rPr>
                        <w:t xml:space="preserve"> représentant un montant total d’investissement de plus de 136 M€.</w:t>
                      </w:r>
                    </w:p>
                    <w:p>
                      <w:pPr>
                        <w:pStyle w:val="Normal"/>
                        <w:bidi w:val="0"/>
                        <w:spacing w:lineRule="auto" w:line="240"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
                    </w:p>
                    <w:p>
                      <w:pPr>
                        <w:pStyle w:val="Corpsdetext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Les bénéficiaires sont les entreprises </w:t>
                      </w:r>
                      <w:r>
                        <w:rPr>
                          <w:rFonts w:eastAsia="Arial" w:cs="Arial" w:ascii="Arial" w:hAnsi="Arial"/>
                          <w:b w:val="false"/>
                          <w:bCs w:val="false"/>
                          <w:color w:val="auto"/>
                          <w:sz w:val="20"/>
                          <w:szCs w:val="20"/>
                          <w:lang w:val="en-US" w:eastAsia="en-US" w:bidi="ar-SA"/>
                        </w:rPr>
                        <w:t xml:space="preserve">AXSYSTEM à Bailleul, NIDAPLAST HONEYCOMBS à Thiant, SIG LOG’s à Denain, EUROCAVE à Fourmies, ORT SOLUTIONS à Bavay, CEF (Centre d’Essai Ferroviaire) à Petite Forêt, SPAC à Neuville-sur-Escaut, PANDROL à Raismes, VAN ROBAYES à Killem , BOMBARDIER à Crespin, LENER CORDIER à Hazebrouck, SETRACO à Aniche, LES HEBIHENS pour un projet d’entrepôt logisitique sur Cambrai, SOCIETE DES NOUVELLES COULEURS ZINCIQUES à Neuville-sur-Escaut, TEXTILES DES DUNES à Steenvoorde, CLAYRTON’S à Roubaix </w:t>
                      </w:r>
                      <w:r>
                        <w:rPr>
                          <w:rFonts w:eastAsia="Arial" w:cs="Arial" w:ascii="Arial" w:hAnsi="Arial"/>
                          <w:b w:val="false"/>
                          <w:bCs w:val="false"/>
                          <w:color w:val="auto"/>
                          <w:sz w:val="20"/>
                          <w:szCs w:val="20"/>
                          <w:lang w:val="en-US" w:eastAsia="en-US" w:bidi="ar-SA"/>
                        </w:rPr>
                        <w:t>et</w:t>
                      </w:r>
                    </w:p>
                    <w:p>
                      <w:pPr>
                        <w:pStyle w:val="Corpsdetexte"/>
                        <w:overflowPunct w:val="true"/>
                        <w:bidi w:val="0"/>
                        <w:spacing w:lineRule="auto" w:line="240" w:before="0" w:after="0"/>
                        <w:ind w:left="0" w:right="0" w:hanging="0"/>
                        <w:jc w:val="both"/>
                        <w:textAlignment w:val="auto"/>
                        <w:rPr/>
                      </w:pPr>
                      <w:r>
                        <w:rPr>
                          <w:rFonts w:eastAsia="Arial" w:cs="Arial" w:ascii="Arial" w:hAnsi="Arial"/>
                          <w:b w:val="false"/>
                          <w:bCs w:val="false"/>
                          <w:color w:val="auto"/>
                          <w:sz w:val="20"/>
                          <w:szCs w:val="20"/>
                          <w:lang w:val="en-US" w:eastAsia="en-US" w:bidi="ar-SA"/>
                        </w:rPr>
                        <w:t>HIOLLE INDUSTRIES à Prouvy.</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r>
              <w:rPr>
                <w:b/>
                <w:bCs/>
                <w:sz w:val="20"/>
                <w:szCs w:val="20"/>
              </w:rPr>
              <w:t>: Hauts-de-France</w:t>
            </w:r>
            <w:bookmarkEnd w:id="10"/>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4080" cy="2425065"/>
                <wp:effectExtent l="0" t="0" r="0" b="0"/>
                <wp:wrapNone/>
                <wp:docPr id="59"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8245" cy="139065"/>
                <wp:effectExtent l="0" t="0" r="0" b="0"/>
                <wp:wrapNone/>
                <wp:docPr id="60"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4080" cy="2651125"/>
                <wp:effectExtent l="0" t="0" r="0" b="0"/>
                <wp:wrapNone/>
                <wp:docPr id="62"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rpsdetexte"/>
                              <w:bidi w:val="0"/>
                              <w:spacing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Fonts w:eastAsia="Arial" w:cs="Arial" w:ascii="Arial" w:hAnsi="Arial"/>
                                <w:b w:val="false"/>
                                <w:bCs w:val="false"/>
                                <w:color w:val="auto"/>
                                <w:sz w:val="20"/>
                                <w:szCs w:val="20"/>
                                <w:lang w:val="en-US" w:eastAsia="en-US" w:bidi="ar-SA"/>
                              </w:rPr>
                              <w:t xml:space="preserve">Dans le Nord, 4 lauréats ont été annoncés au titre de la 1ère vague de l’AAP </w:t>
                            </w:r>
                            <w:r>
                              <w:rPr>
                                <w:rFonts w:eastAsia="Arial" w:cs="Arial" w:ascii="Arial" w:hAnsi="Arial"/>
                                <w:b/>
                                <w:bCs/>
                                <w:color w:val="auto"/>
                                <w:sz w:val="20"/>
                                <w:szCs w:val="20"/>
                                <w:lang w:val="en-US" w:eastAsia="en-US" w:bidi="ar-SA"/>
                              </w:rPr>
                              <w:t>« soutien à l’investissement dans les secteurs stratégiques pour la résilience de notre économie »</w:t>
                            </w:r>
                            <w:r>
                              <w:rPr>
                                <w:rFonts w:eastAsia="Arial" w:cs="Arial" w:ascii="Arial" w:hAnsi="Arial"/>
                                <w:b w:val="false"/>
                                <w:bCs w:val="false"/>
                                <w:color w:val="auto"/>
                                <w:sz w:val="20"/>
                                <w:szCs w:val="20"/>
                                <w:lang w:val="en-US" w:eastAsia="en-US" w:bidi="ar-SA"/>
                              </w:rPr>
                              <w:t xml:space="preserve">: </w:t>
                            </w:r>
                          </w:p>
                          <w:p>
                            <w:pPr>
                              <w:pStyle w:val="Corpsdetexte"/>
                              <w:bidi w:val="0"/>
                              <w:spacing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 LESAFFRE pour 2 projets sur la ZAC des Pierres Blanches à Denain concernant </w:t>
                            </w:r>
                            <w:r>
                              <w:rPr>
                                <w:rFonts w:eastAsia="Arial" w:cs="Arial" w:ascii="Arial" w:hAnsi="Arial"/>
                                <w:b w:val="false"/>
                                <w:bCs w:val="false"/>
                                <w:color w:val="auto"/>
                                <w:sz w:val="20"/>
                                <w:szCs w:val="20"/>
                                <w:lang w:val="en-US" w:eastAsia="en-US" w:bidi="ar-SA"/>
                              </w:rPr>
                              <w:t xml:space="preserve">la création d’une </w:t>
                            </w:r>
                            <w:r>
                              <w:rPr>
                                <w:rFonts w:eastAsia="Arial" w:cs="Arial" w:ascii="Arial" w:hAnsi="Arial"/>
                                <w:b w:val="false"/>
                                <w:bCs w:val="false"/>
                                <w:color w:val="auto"/>
                                <w:sz w:val="20"/>
                                <w:szCs w:val="20"/>
                                <w:lang w:val="en-US" w:eastAsia="en-US" w:bidi="ar-SA"/>
                              </w:rPr>
                              <w:t xml:space="preserve">unité de chondroïtine et </w:t>
                            </w:r>
                            <w:r>
                              <w:rPr>
                                <w:rFonts w:eastAsia="Arial" w:cs="Arial" w:ascii="Arial" w:hAnsi="Arial"/>
                                <w:b w:val="false"/>
                                <w:bCs w:val="false"/>
                                <w:color w:val="auto"/>
                                <w:sz w:val="20"/>
                                <w:szCs w:val="20"/>
                                <w:lang w:val="en-US" w:eastAsia="en-US" w:bidi="ar-SA"/>
                              </w:rPr>
                              <w:t xml:space="preserve">d’une </w:t>
                            </w:r>
                            <w:r>
                              <w:rPr>
                                <w:rFonts w:eastAsia="Arial" w:cs="Arial" w:ascii="Arial" w:hAnsi="Arial"/>
                                <w:b w:val="false"/>
                                <w:bCs w:val="false"/>
                                <w:color w:val="auto"/>
                                <w:sz w:val="20"/>
                                <w:szCs w:val="20"/>
                                <w:lang w:val="en-US" w:eastAsia="en-US" w:bidi="ar-SA"/>
                              </w:rPr>
                              <w:t>unité de vaniline.</w:t>
                            </w:r>
                          </w:p>
                          <w:p>
                            <w:pPr>
                              <w:pStyle w:val="Corpsdetexte"/>
                              <w:bidi w:val="0"/>
                              <w:spacing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 NXTFOOD à Villeneuve d’Ascq pour </w:t>
                            </w:r>
                            <w:r>
                              <w:rPr>
                                <w:rFonts w:eastAsia="Arial" w:cs="Arial" w:ascii="Arial" w:hAnsi="Arial"/>
                                <w:b w:val="false"/>
                                <w:bCs w:val="false"/>
                                <w:color w:val="auto"/>
                                <w:sz w:val="20"/>
                                <w:szCs w:val="20"/>
                                <w:lang w:val="en-US" w:eastAsia="en-US" w:bidi="ar-SA"/>
                              </w:rPr>
                              <w:t>un</w:t>
                            </w:r>
                            <w:r>
                              <w:rPr>
                                <w:rFonts w:eastAsia="Arial" w:cs="Arial" w:ascii="Arial" w:hAnsi="Arial"/>
                                <w:b w:val="false"/>
                                <w:bCs w:val="false"/>
                                <w:color w:val="auto"/>
                                <w:sz w:val="20"/>
                                <w:szCs w:val="20"/>
                                <w:lang w:val="en-US" w:eastAsia="en-US" w:bidi="ar-SA"/>
                              </w:rPr>
                              <w:t xml:space="preserve"> projet de steack haché végétal </w:t>
                            </w:r>
                          </w:p>
                          <w:p>
                            <w:pPr>
                              <w:pStyle w:val="Corpsdetexte"/>
                              <w:bidi w:val="0"/>
                              <w:spacing w:before="0" w:after="0"/>
                              <w:ind w:left="0" w:right="0" w:hanging="0"/>
                              <w:jc w:val="both"/>
                              <w:textAlignment w:val="auto"/>
                              <w:rPr/>
                            </w:pPr>
                            <w:r>
                              <w:rPr>
                                <w:rFonts w:eastAsia="Arial" w:cs="Arial" w:ascii="Arial" w:hAnsi="Arial"/>
                                <w:b w:val="false"/>
                                <w:bCs w:val="false"/>
                                <w:color w:val="auto"/>
                                <w:sz w:val="20"/>
                                <w:szCs w:val="20"/>
                                <w:lang w:val="en-US" w:eastAsia="en-US" w:bidi="ar-SA"/>
                              </w:rPr>
                              <w:t>- MARCOPHARMA à Tourcoing pour un projet concernant une ligne de fabrication automatisée de filtres souples permettant la séparation des globules blancs (recrutement de 20 emplois directs prévus)</w:t>
                            </w:r>
                          </w:p>
                          <w:p>
                            <w:pPr>
                              <w:pStyle w:val="Corpsdetexte"/>
                              <w:overflowPunct w:val="true"/>
                              <w:bidi w:val="0"/>
                              <w:spacing w:lineRule="auto" w:line="240"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Fonts w:eastAsia="Arial" w:cs="Arial" w:ascii="Arial" w:hAnsi="Arial"/>
                                <w:b w:val="false"/>
                                <w:bCs w:val="false"/>
                                <w:color w:val="auto"/>
                                <w:sz w:val="20"/>
                                <w:szCs w:val="20"/>
                                <w:lang w:val="en-US" w:eastAsia="en-US" w:bidi="ar-SA"/>
                              </w:rPr>
                              <w:t>- THALES à Douai dans le domaine du déploiement des technologies 5G.</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rpsdetexte"/>
                        <w:bidi w:val="0"/>
                        <w:spacing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Fonts w:eastAsia="Arial" w:cs="Arial" w:ascii="Arial" w:hAnsi="Arial"/>
                          <w:b w:val="false"/>
                          <w:bCs w:val="false"/>
                          <w:color w:val="auto"/>
                          <w:sz w:val="20"/>
                          <w:szCs w:val="20"/>
                          <w:lang w:val="en-US" w:eastAsia="en-US" w:bidi="ar-SA"/>
                        </w:rPr>
                        <w:t xml:space="preserve">Dans le Nord, 4 lauréats ont été annoncés au titre de la 1ère vague de l’AAP </w:t>
                      </w:r>
                      <w:r>
                        <w:rPr>
                          <w:rFonts w:eastAsia="Arial" w:cs="Arial" w:ascii="Arial" w:hAnsi="Arial"/>
                          <w:b/>
                          <w:bCs/>
                          <w:color w:val="auto"/>
                          <w:sz w:val="20"/>
                          <w:szCs w:val="20"/>
                          <w:lang w:val="en-US" w:eastAsia="en-US" w:bidi="ar-SA"/>
                        </w:rPr>
                        <w:t>« soutien à l’investissement dans les secteurs stratégiques pour la résilience de notre économie »</w:t>
                      </w:r>
                      <w:r>
                        <w:rPr>
                          <w:rFonts w:eastAsia="Arial" w:cs="Arial" w:ascii="Arial" w:hAnsi="Arial"/>
                          <w:b w:val="false"/>
                          <w:bCs w:val="false"/>
                          <w:color w:val="auto"/>
                          <w:sz w:val="20"/>
                          <w:szCs w:val="20"/>
                          <w:lang w:val="en-US" w:eastAsia="en-US" w:bidi="ar-SA"/>
                        </w:rPr>
                        <w:t xml:space="preserve">: </w:t>
                      </w:r>
                    </w:p>
                    <w:p>
                      <w:pPr>
                        <w:pStyle w:val="Corpsdetexte"/>
                        <w:bidi w:val="0"/>
                        <w:spacing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 LESAFFRE pour 2 projets sur la ZAC des Pierres Blanches à Denain concernant </w:t>
                      </w:r>
                      <w:r>
                        <w:rPr>
                          <w:rFonts w:eastAsia="Arial" w:cs="Arial" w:ascii="Arial" w:hAnsi="Arial"/>
                          <w:b w:val="false"/>
                          <w:bCs w:val="false"/>
                          <w:color w:val="auto"/>
                          <w:sz w:val="20"/>
                          <w:szCs w:val="20"/>
                          <w:lang w:val="en-US" w:eastAsia="en-US" w:bidi="ar-SA"/>
                        </w:rPr>
                        <w:t xml:space="preserve">la création d’une </w:t>
                      </w:r>
                      <w:r>
                        <w:rPr>
                          <w:rFonts w:eastAsia="Arial" w:cs="Arial" w:ascii="Arial" w:hAnsi="Arial"/>
                          <w:b w:val="false"/>
                          <w:bCs w:val="false"/>
                          <w:color w:val="auto"/>
                          <w:sz w:val="20"/>
                          <w:szCs w:val="20"/>
                          <w:lang w:val="en-US" w:eastAsia="en-US" w:bidi="ar-SA"/>
                        </w:rPr>
                        <w:t xml:space="preserve">unité de chondroïtine et </w:t>
                      </w:r>
                      <w:r>
                        <w:rPr>
                          <w:rFonts w:eastAsia="Arial" w:cs="Arial" w:ascii="Arial" w:hAnsi="Arial"/>
                          <w:b w:val="false"/>
                          <w:bCs w:val="false"/>
                          <w:color w:val="auto"/>
                          <w:sz w:val="20"/>
                          <w:szCs w:val="20"/>
                          <w:lang w:val="en-US" w:eastAsia="en-US" w:bidi="ar-SA"/>
                        </w:rPr>
                        <w:t xml:space="preserve">d’une </w:t>
                      </w:r>
                      <w:r>
                        <w:rPr>
                          <w:rFonts w:eastAsia="Arial" w:cs="Arial" w:ascii="Arial" w:hAnsi="Arial"/>
                          <w:b w:val="false"/>
                          <w:bCs w:val="false"/>
                          <w:color w:val="auto"/>
                          <w:sz w:val="20"/>
                          <w:szCs w:val="20"/>
                          <w:lang w:val="en-US" w:eastAsia="en-US" w:bidi="ar-SA"/>
                        </w:rPr>
                        <w:t>unité de vaniline.</w:t>
                      </w:r>
                    </w:p>
                    <w:p>
                      <w:pPr>
                        <w:pStyle w:val="Corpsdetexte"/>
                        <w:bidi w:val="0"/>
                        <w:spacing w:before="0" w:after="0"/>
                        <w:ind w:left="0" w:right="0" w:hanging="0"/>
                        <w:jc w:val="both"/>
                        <w:textAlignment w:val="auto"/>
                        <w:rPr/>
                      </w:pPr>
                      <w:r>
                        <w:rPr>
                          <w:rFonts w:eastAsia="Arial" w:cs="Arial" w:ascii="Arial" w:hAnsi="Arial"/>
                          <w:b w:val="false"/>
                          <w:bCs w:val="false"/>
                          <w:color w:val="auto"/>
                          <w:sz w:val="20"/>
                          <w:szCs w:val="20"/>
                          <w:lang w:val="en-US" w:eastAsia="en-US" w:bidi="ar-SA"/>
                        </w:rPr>
                        <w:t xml:space="preserve">- NXTFOOD à Villeneuve d’Ascq pour </w:t>
                      </w:r>
                      <w:r>
                        <w:rPr>
                          <w:rFonts w:eastAsia="Arial" w:cs="Arial" w:ascii="Arial" w:hAnsi="Arial"/>
                          <w:b w:val="false"/>
                          <w:bCs w:val="false"/>
                          <w:color w:val="auto"/>
                          <w:sz w:val="20"/>
                          <w:szCs w:val="20"/>
                          <w:lang w:val="en-US" w:eastAsia="en-US" w:bidi="ar-SA"/>
                        </w:rPr>
                        <w:t>un</w:t>
                      </w:r>
                      <w:r>
                        <w:rPr>
                          <w:rFonts w:eastAsia="Arial" w:cs="Arial" w:ascii="Arial" w:hAnsi="Arial"/>
                          <w:b w:val="false"/>
                          <w:bCs w:val="false"/>
                          <w:color w:val="auto"/>
                          <w:sz w:val="20"/>
                          <w:szCs w:val="20"/>
                          <w:lang w:val="en-US" w:eastAsia="en-US" w:bidi="ar-SA"/>
                        </w:rPr>
                        <w:t xml:space="preserve"> projet de steack haché végétal </w:t>
                      </w:r>
                    </w:p>
                    <w:p>
                      <w:pPr>
                        <w:pStyle w:val="Corpsdetexte"/>
                        <w:bidi w:val="0"/>
                        <w:spacing w:before="0" w:after="0"/>
                        <w:ind w:left="0" w:right="0" w:hanging="0"/>
                        <w:jc w:val="both"/>
                        <w:textAlignment w:val="auto"/>
                        <w:rPr/>
                      </w:pPr>
                      <w:r>
                        <w:rPr>
                          <w:rFonts w:eastAsia="Arial" w:cs="Arial" w:ascii="Arial" w:hAnsi="Arial"/>
                          <w:b w:val="false"/>
                          <w:bCs w:val="false"/>
                          <w:color w:val="auto"/>
                          <w:sz w:val="20"/>
                          <w:szCs w:val="20"/>
                          <w:lang w:val="en-US" w:eastAsia="en-US" w:bidi="ar-SA"/>
                        </w:rPr>
                        <w:t>- MARCOPHARMA à Tourcoing pour un projet concernant une ligne de fabrication automatisée de filtres souples permettant la séparation des globules blancs (recrutement de 20 emplois directs prévus)</w:t>
                      </w:r>
                    </w:p>
                    <w:p>
                      <w:pPr>
                        <w:pStyle w:val="Corpsdetexte"/>
                        <w:overflowPunct w:val="true"/>
                        <w:bidi w:val="0"/>
                        <w:spacing w:lineRule="auto" w:line="240" w:before="0" w:after="0"/>
                        <w:ind w:left="0" w:right="0" w:hanging="0"/>
                        <w:jc w:val="both"/>
                        <w:textAlignment w:val="auto"/>
                        <w:rPr>
                          <w:rFonts w:ascii="Arial" w:hAnsi="Arial" w:eastAsia="Arial" w:cs="Arial"/>
                          <w:b w:val="false"/>
                          <w:b w:val="false"/>
                          <w:bCs w:val="false"/>
                          <w:color w:val="auto"/>
                          <w:sz w:val="20"/>
                          <w:szCs w:val="20"/>
                          <w:lang w:val="en-US" w:eastAsia="en-US" w:bidi="ar-SA"/>
                        </w:rPr>
                      </w:pPr>
                      <w:r>
                        <w:rPr>
                          <w:rFonts w:eastAsia="Arial" w:cs="Arial" w:ascii="Arial" w:hAnsi="Arial"/>
                          <w:b w:val="false"/>
                          <w:bCs w:val="false"/>
                          <w:color w:val="auto"/>
                          <w:sz w:val="20"/>
                          <w:szCs w:val="20"/>
                          <w:lang w:val="en-US" w:eastAsia="en-US" w:bidi="ar-SA"/>
                        </w:rPr>
                        <w:t>- THALES à Douai dans le domaine du déploiement des technologies 5G.</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105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r>
              <w:rPr>
                <w:b/>
                <w:bCs/>
                <w:sz w:val="20"/>
                <w:szCs w:val="20"/>
              </w:rPr>
              <w:t>: Hauts-de-France</w:t>
            </w:r>
            <w:bookmarkEnd w:id="11"/>
          </w:p>
        </w:tc>
      </w:tr>
      <w:tr>
        <w:trPr>
          <w:trHeight w:val="450"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164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163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105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104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90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90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4080" cy="2425065"/>
                <wp:effectExtent l="0" t="0" r="0" b="0"/>
                <wp:wrapNone/>
                <wp:docPr id="64"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8245" cy="139065"/>
                <wp:effectExtent l="0" t="0" r="0" b="0"/>
                <wp:wrapNone/>
                <wp:docPr id="65"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4080" cy="2651125"/>
                <wp:effectExtent l="0" t="0" r="0" b="0"/>
                <wp:wrapNone/>
                <wp:docPr id="67"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79490" cy="8540115"/>
                <wp:effectExtent l="0" t="0" r="0" b="0"/>
                <wp:wrapNone/>
                <wp:docPr id="69" name="Forme1"/>
                <a:graphic xmlns:a="http://schemas.openxmlformats.org/drawingml/2006/main">
                  <a:graphicData uri="http://schemas.microsoft.com/office/word/2010/wordprocessingShape">
                    <wps:wsp>
                      <wps:cNvSpPr/>
                      <wps:spPr>
                        <a:xfrm>
                          <a:off x="0" y="0"/>
                          <a:ext cx="6078960" cy="853956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Fonts w:eastAsia="Calibri" w:cs="" w:cstheme="minorBidi" w:eastAsiaTheme="minorHAnsi"/>
                                <w:b/>
                                <w:bCs/>
                                <w:color w:val="auto"/>
                              </w:rPr>
                              <w:t xml:space="preserve">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
                              <w:overflowPunct w:val="true"/>
                              <w:spacing w:lineRule="auto" w:line="240" w:before="0" w:after="0"/>
                              <w:rPr/>
                            </w:pPr>
                            <w:r>
                              <w:rPr>
                                <w:rFonts w:eastAsia="Calibri" w:cs="" w:cstheme="minorBidi" w:eastAsiaTheme="minorHAnsi"/>
                                <w:b/>
                                <w:bCs/>
                                <w:color w:val="auto"/>
                              </w:rPr>
                              <w:t>Commentaires généraux :</w:t>
                            </w:r>
                          </w:p>
                          <w:p>
                            <w:pPr>
                              <w:pStyle w:val="Normal"/>
                              <w:overflowPunct w:val="true"/>
                              <w:spacing w:lineRule="auto" w:line="240" w:before="0" w:after="0"/>
                              <w:rPr/>
                            </w:pPr>
                            <w:r>
                              <w:rPr/>
                            </w:r>
                          </w:p>
                          <w:p>
                            <w:pPr>
                              <w:pStyle w:val="Normal"/>
                              <w:overflowPunct w:val="true"/>
                              <w:spacing w:lineRule="auto" w:line="240" w:before="0" w:after="0"/>
                              <w:jc w:val="both"/>
                              <w:rPr/>
                            </w:pPr>
                            <w:r>
                              <w:rPr/>
                              <w:t>L</w:t>
                            </w:r>
                            <w:r>
                              <w:rPr/>
                              <w:t xml:space="preserve">e rythme de déploiement  des mesures du « plan 1jeune/1 solution » s’accélère progressivement dans le département du Nord au premier trimestre 2021.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 xml:space="preserve">Face à la prudence des acteurs locaux, aux conséquences de la crise sanitaire et à la moindre attractivité de certains contrats aidés tels que les contrats initiative emploi (CIE) Jeunes, qui freinent la mise en œuvre du dispositif, </w:t>
                            </w:r>
                            <w:r>
                              <w:rPr/>
                              <w:t>un</w:t>
                            </w:r>
                            <w:r>
                              <w:rPr/>
                              <w:t xml:space="preserve"> plan d’actions </w:t>
                            </w:r>
                            <w:r>
                              <w:rPr/>
                              <w:t>a</w:t>
                            </w:r>
                            <w:r>
                              <w:rPr/>
                              <w:t xml:space="preserve"> été mis en place afin d’assurer l’atteinte des objectifs chiffrés fixés dans la feuille de route pour 2021.</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Ce plan d’action est structuré autour de quatre axes :</w:t>
                            </w:r>
                          </w:p>
                          <w:p>
                            <w:pPr>
                              <w:pStyle w:val="Contenudecadre"/>
                              <w:overflowPunct w:val="true"/>
                              <w:spacing w:lineRule="auto" w:line="240" w:before="0" w:after="0"/>
                              <w:jc w:val="both"/>
                              <w:rPr/>
                            </w:pPr>
                            <w:r>
                              <w:rPr/>
                              <w:t>- mobilisation et repérage des publics cibles</w:t>
                            </w:r>
                          </w:p>
                          <w:p>
                            <w:pPr>
                              <w:pStyle w:val="Contenudecadre"/>
                              <w:overflowPunct w:val="true"/>
                              <w:spacing w:lineRule="auto" w:line="240" w:before="0" w:after="0"/>
                              <w:jc w:val="both"/>
                              <w:rPr/>
                            </w:pPr>
                            <w:r>
                              <w:rPr/>
                              <w:t>- prospection des employeurs publics et privés</w:t>
                            </w:r>
                          </w:p>
                          <w:p>
                            <w:pPr>
                              <w:pStyle w:val="Contenudecadre"/>
                              <w:overflowPunct w:val="true"/>
                              <w:spacing w:lineRule="auto" w:line="240" w:before="0" w:after="0"/>
                              <w:jc w:val="both"/>
                              <w:rPr/>
                            </w:pPr>
                            <w:r>
                              <w:rPr/>
                              <w:t>- mise en relation directe entre publics et employeurs</w:t>
                            </w:r>
                          </w:p>
                          <w:p>
                            <w:pPr>
                              <w:pStyle w:val="Contenudecadre"/>
                              <w:overflowPunct w:val="true"/>
                              <w:spacing w:lineRule="auto" w:line="240" w:before="0" w:after="0"/>
                              <w:jc w:val="both"/>
                              <w:rPr/>
                            </w:pPr>
                            <w:r>
                              <w:rPr/>
                              <w:t>- actions de  communication à destination des Chambres consulaires, des experts comptables et des collectivités publiques</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 xml:space="preserve">Ce plan sera amené à évoluer tout au long de l’année 2021, au regard des actions réalisées et de l’atteinte des objectifs.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En outre, des cellules de veille ont été mises en place dans chaque arrondissement du département, sous l’égide des SPEL, rassemblant la DDETS, Pôle emploi, Cap Emploi, les missions locales et le Conseil départemental. Elles visent territorialement  à mutualiser les cibles pour les contrats PEC, CIE et emplois francs, à coordonner les actions de chaque opérateur, à décider d’actions mutualisées et à partager les résultats, les difficultés à lever et les réussites à valoriser.</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6pt;height:672.35pt">
                <w10:wrap type="square"/>
                <v:fill o:detectmouseclick="t" on="false"/>
                <v:stroke color="black" joinstyle="round" endcap="flat"/>
                <v:textbox>
                  <w:txbxContent>
                    <w:p>
                      <w:pPr>
                        <w:pStyle w:val="Contenudecadre"/>
                        <w:overflowPunct w:val="true"/>
                        <w:spacing w:lineRule="auto" w:line="240" w:before="0" w:after="0"/>
                        <w:rPr>
                          <w:rFonts w:eastAsia="Calibri" w:cs="" w:cstheme="minorBidi" w:eastAsiaTheme="minorHAnsi"/>
                          <w:b/>
                          <w:b/>
                          <w:bCs/>
                          <w:color w:val="auto"/>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Fonts w:eastAsia="Calibri" w:cs="" w:cstheme="minorBidi" w:eastAsiaTheme="minorHAnsi"/>
                          <w:b/>
                          <w:bCs/>
                          <w:color w:val="auto"/>
                        </w:rPr>
                        <w:t xml:space="preserve">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
                        <w:overflowPunct w:val="true"/>
                        <w:spacing w:lineRule="auto" w:line="240" w:before="0" w:after="0"/>
                        <w:rPr/>
                      </w:pPr>
                      <w:r>
                        <w:rPr>
                          <w:rFonts w:eastAsia="Calibri" w:cs="" w:cstheme="minorBidi" w:eastAsiaTheme="minorHAnsi"/>
                          <w:b/>
                          <w:bCs/>
                          <w:color w:val="auto"/>
                        </w:rPr>
                        <w:t>Commentaires généraux :</w:t>
                      </w:r>
                    </w:p>
                    <w:p>
                      <w:pPr>
                        <w:pStyle w:val="Normal"/>
                        <w:overflowPunct w:val="true"/>
                        <w:spacing w:lineRule="auto" w:line="240" w:before="0" w:after="0"/>
                        <w:rPr/>
                      </w:pPr>
                      <w:r>
                        <w:rPr/>
                      </w:r>
                    </w:p>
                    <w:p>
                      <w:pPr>
                        <w:pStyle w:val="Normal"/>
                        <w:overflowPunct w:val="true"/>
                        <w:spacing w:lineRule="auto" w:line="240" w:before="0" w:after="0"/>
                        <w:jc w:val="both"/>
                        <w:rPr/>
                      </w:pPr>
                      <w:r>
                        <w:rPr/>
                        <w:t>L</w:t>
                      </w:r>
                      <w:r>
                        <w:rPr/>
                        <w:t xml:space="preserve">e rythme de déploiement  des mesures du « plan 1jeune/1 solution » s’accélère progressivement dans le département du Nord au premier trimestre 2021.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 xml:space="preserve">Face à la prudence des acteurs locaux, aux conséquences de la crise sanitaire et à la moindre attractivité de certains contrats aidés tels que les contrats initiative emploi (CIE) Jeunes, qui freinent la mise en œuvre du dispositif, </w:t>
                      </w:r>
                      <w:r>
                        <w:rPr/>
                        <w:t>un</w:t>
                      </w:r>
                      <w:r>
                        <w:rPr/>
                        <w:t xml:space="preserve"> plan d’actions </w:t>
                      </w:r>
                      <w:r>
                        <w:rPr/>
                        <w:t>a</w:t>
                      </w:r>
                      <w:r>
                        <w:rPr/>
                        <w:t xml:space="preserve"> été mis en place afin d’assurer l’atteinte des objectifs chiffrés fixés dans la feuille de route pour 2021.</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Ce plan d’action est structuré autour de quatre axes :</w:t>
                      </w:r>
                    </w:p>
                    <w:p>
                      <w:pPr>
                        <w:pStyle w:val="Contenudecadre"/>
                        <w:overflowPunct w:val="true"/>
                        <w:spacing w:lineRule="auto" w:line="240" w:before="0" w:after="0"/>
                        <w:jc w:val="both"/>
                        <w:rPr/>
                      </w:pPr>
                      <w:r>
                        <w:rPr/>
                        <w:t>- mobilisation et repérage des publics cibles</w:t>
                      </w:r>
                    </w:p>
                    <w:p>
                      <w:pPr>
                        <w:pStyle w:val="Contenudecadre"/>
                        <w:overflowPunct w:val="true"/>
                        <w:spacing w:lineRule="auto" w:line="240" w:before="0" w:after="0"/>
                        <w:jc w:val="both"/>
                        <w:rPr/>
                      </w:pPr>
                      <w:r>
                        <w:rPr/>
                        <w:t>- prospection des employeurs publics et privés</w:t>
                      </w:r>
                    </w:p>
                    <w:p>
                      <w:pPr>
                        <w:pStyle w:val="Contenudecadre"/>
                        <w:overflowPunct w:val="true"/>
                        <w:spacing w:lineRule="auto" w:line="240" w:before="0" w:after="0"/>
                        <w:jc w:val="both"/>
                        <w:rPr/>
                      </w:pPr>
                      <w:r>
                        <w:rPr/>
                        <w:t>- mise en relation directe entre publics et employeurs</w:t>
                      </w:r>
                    </w:p>
                    <w:p>
                      <w:pPr>
                        <w:pStyle w:val="Contenudecadre"/>
                        <w:overflowPunct w:val="true"/>
                        <w:spacing w:lineRule="auto" w:line="240" w:before="0" w:after="0"/>
                        <w:jc w:val="both"/>
                        <w:rPr/>
                      </w:pPr>
                      <w:r>
                        <w:rPr/>
                        <w:t>- actions de  communication à destination des Chambres consulaires, des experts comptables et des collectivités publiques</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 xml:space="preserve">Ce plan sera amené à évoluer tout au long de l’année 2021, au regard des actions réalisées et de l’atteinte des objectifs. </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t>En outre, des cellules de veille ont été mises en place dans chaque arrondissement du département, sous l’égide des SPEL, rassemblant la DDETS, Pôle emploi, Cap Emploi, les missions locales et le Conseil départemental. Elles visent territorialement  à mutualiser les cibles pour les contrats PEC, CIE et emplois francs, à coordonner les actions de chaque opérateur, à décider d’actions mutualisées et à partager les résultats, les difficultés à lever et les réussites à valoriser.</w:t>
                      </w:r>
                    </w:p>
                    <w:p>
                      <w:pPr>
                        <w:pStyle w:val="Contenudecadre"/>
                        <w:overflowPunct w:val="true"/>
                        <w:spacing w:lineRule="auto" w:line="240" w:before="0" w:after="0"/>
                        <w:jc w:val="both"/>
                        <w:rPr/>
                      </w:pPr>
                      <w:r>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6655" cy="139065"/>
                <wp:effectExtent l="0" t="0" r="0" b="0"/>
                <wp:wrapNone/>
                <wp:docPr id="71" name="Forme2"/>
                <a:graphic xmlns:a="http://schemas.openxmlformats.org/drawingml/2006/main">
                  <a:graphicData uri="http://schemas.microsoft.com/office/word/2010/wordprocessingShape">
                    <wps:wsp>
                      <wps:cNvSpPr/>
                      <wps:spPr>
                        <a:xfrm>
                          <a:off x="0" y="0"/>
                          <a:ext cx="75261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5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12867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r>
              <w:rPr>
                <w:b/>
                <w:bCs/>
                <w:sz w:val="20"/>
                <w:szCs w:val="20"/>
              </w:rPr>
              <w:t>: Hauts-de-France</w:t>
            </w:r>
            <w:bookmarkEnd w:id="1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27137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23499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19593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12867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11040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8879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4080" cy="2425065"/>
                <wp:effectExtent l="0" t="0" r="0" b="0"/>
                <wp:wrapNone/>
                <wp:docPr id="73"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8245" cy="139065"/>
                <wp:effectExtent l="0" t="0" r="0" b="0"/>
                <wp:wrapNone/>
                <wp:docPr id="74"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4080" cy="2651125"/>
                <wp:effectExtent l="0" t="0" r="0" b="0"/>
                <wp:wrapNone/>
                <wp:docPr id="76"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10757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r>
              <w:rPr>
                <w:b/>
                <w:bCs/>
                <w:sz w:val="20"/>
                <w:szCs w:val="20"/>
              </w:rPr>
              <w:t>: Hauts-de-France</w:t>
            </w:r>
            <w:bookmarkEnd w:id="1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20993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15103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5868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10757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8163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3554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4080" cy="2425065"/>
                <wp:effectExtent l="0" t="0" r="0" b="0"/>
                <wp:wrapNone/>
                <wp:docPr id="78"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8245" cy="139065"/>
                <wp:effectExtent l="0" t="0" r="0" b="0"/>
                <wp:wrapNone/>
                <wp:docPr id="79"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4080" cy="2651125"/>
                <wp:effectExtent l="0" t="0" r="0" b="0"/>
                <wp:wrapNone/>
                <wp:docPr id="81"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Normal"/>
                              <w:widowControl/>
                              <w:overflowPunct w:val="true"/>
                              <w:spacing w:lineRule="auto" w:line="240" w:before="0" w:after="0"/>
                              <w:ind w:left="0" w:right="0" w:hanging="0"/>
                              <w:jc w:val="both"/>
                              <w:textAlignment w:val="baseline"/>
                              <w:rPr>
                                <w:rFonts w:ascii="Arial" w:hAnsi="Arial" w:eastAsia="Calibri" w:cs="" w:cstheme="minorBidi" w:eastAsiaTheme="minorHAnsi"/>
                                <w:b/>
                                <w:b/>
                                <w:bCs/>
                                <w:color w:val="auto"/>
                                <w:sz w:val="20"/>
                                <w:szCs w:val="20"/>
                              </w:rPr>
                            </w:pPr>
                            <w:r>
                              <w:rPr>
                                <w:rFonts w:eastAsia="Calibri" w:cs="" w:ascii="Arial" w:hAnsi="Arial" w:cstheme="minorBidi" w:eastAsiaTheme="minorHAnsi"/>
                                <w:b w:val="false"/>
                                <w:bCs w:val="false"/>
                                <w:color w:val="auto"/>
                                <w:sz w:val="20"/>
                                <w:szCs w:val="20"/>
                              </w:rPr>
                              <w:t>Au 2 avril 2021, 9 180 aides ont été versées pour l’embauche des jeunes dans le Nord, selon la DREETS.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Normal"/>
                        <w:widowControl/>
                        <w:overflowPunct w:val="true"/>
                        <w:spacing w:lineRule="auto" w:line="240" w:before="0" w:after="0"/>
                        <w:ind w:left="0" w:right="0" w:hanging="0"/>
                        <w:jc w:val="both"/>
                        <w:textAlignment w:val="baseline"/>
                        <w:rPr>
                          <w:rFonts w:ascii="Arial" w:hAnsi="Arial" w:eastAsia="Calibri" w:cs="" w:cstheme="minorBidi" w:eastAsiaTheme="minorHAnsi"/>
                          <w:b/>
                          <w:b/>
                          <w:bCs/>
                          <w:color w:val="auto"/>
                          <w:sz w:val="20"/>
                          <w:szCs w:val="20"/>
                        </w:rPr>
                      </w:pPr>
                      <w:r>
                        <w:rPr>
                          <w:rFonts w:eastAsia="Calibri" w:cs="" w:ascii="Arial" w:hAnsi="Arial" w:cstheme="minorBidi" w:eastAsiaTheme="minorHAnsi"/>
                          <w:b w:val="false"/>
                          <w:bCs w:val="false"/>
                          <w:color w:val="auto"/>
                          <w:sz w:val="20"/>
                          <w:szCs w:val="20"/>
                        </w:rPr>
                        <w:t>Au 2 avril 2021, 9 180 aides ont été versées pour l’embauche des jeunes dans le Nord, selon la DREETS.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266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r>
              <w:rPr>
                <w:b/>
                <w:bCs/>
                <w:sz w:val="20"/>
                <w:szCs w:val="20"/>
              </w:rPr>
              <w:t>: Hauts-de-France</w:t>
            </w:r>
            <w:bookmarkEnd w:id="1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93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4080" cy="2425065"/>
                <wp:effectExtent l="0" t="0" r="0" b="0"/>
                <wp:wrapNone/>
                <wp:docPr id="83"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8245" cy="139065"/>
                <wp:effectExtent l="0" t="0" r="0" b="0"/>
                <wp:wrapNone/>
                <wp:docPr id="84"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4080" cy="2651125"/>
                <wp:effectExtent l="0" t="0" r="0" b="0"/>
                <wp:wrapNone/>
                <wp:docPr id="86"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360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r>
              <w:rPr>
                <w:b/>
                <w:bCs/>
                <w:sz w:val="20"/>
                <w:szCs w:val="20"/>
              </w:rPr>
              <w:t>: Hauts-de-France</w:t>
            </w:r>
            <w:bookmarkEnd w:id="1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4080" cy="2425065"/>
                <wp:effectExtent l="0" t="0" r="0" b="0"/>
                <wp:wrapNone/>
                <wp:docPr id="88"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8245" cy="139065"/>
                <wp:effectExtent l="0" t="0" r="0" b="0"/>
                <wp:wrapNone/>
                <wp:docPr id="89"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4080" cy="2651125"/>
                <wp:effectExtent l="0" t="0" r="0" b="0"/>
                <wp:wrapNone/>
                <wp:docPr id="91"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jc w:val="both"/>
                              <w:rPr/>
                            </w:pPr>
                            <w:r>
                              <w:rPr>
                                <w:rFonts w:eastAsia="Calibri" w:cs="" w:cstheme="minorBidi" w:eastAsiaTheme="minorHAnsi"/>
                                <w:b w:val="false"/>
                                <w:bCs w:val="false"/>
                                <w:color w:val="auto"/>
                              </w:rPr>
                              <w:t xml:space="preserve">Au 16 avril 2021, 336  entrées en CIE selon la DREETS </w:t>
                            </w:r>
                            <w:r>
                              <w:rPr>
                                <w:rFonts w:eastAsia="Calibri" w:cs="" w:cstheme="minorBidi" w:eastAsiaTheme="minorHAnsi"/>
                                <w:b w:val="false"/>
                                <w:bCs w:val="false"/>
                                <w:color w:val="auto"/>
                              </w:rPr>
                              <w:t>pour un objectif annuel de 2478 CIE dans le Nord</w:t>
                            </w:r>
                            <w:r>
                              <w:rPr>
                                <w:rFonts w:eastAsia="Calibri" w:cs="" w:cstheme="minorBidi" w:eastAsiaTheme="minorHAnsi"/>
                                <w:b w:val="false"/>
                                <w:bCs w:val="false"/>
                                <w:color w:val="auto"/>
                              </w:rPr>
                              <w:t>.</w:t>
                            </w:r>
                            <w:r>
                              <w:rPr>
                                <w:rFonts w:eastAsia="Calibri" w:cs="" w:cstheme="minorBidi" w:eastAsiaTheme="minorHAnsi"/>
                                <w:b w:val="false"/>
                                <w:bCs w:val="false"/>
                                <w:color w:val="auto"/>
                              </w:rPr>
                              <w:t xml:space="preserve">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auto"/>
                              </w:rPr>
                            </w:pPr>
                            <w:r>
                              <w:rPr/>
                            </w:r>
                          </w:p>
                          <w:p>
                            <w:pPr>
                              <w:pStyle w:val="Contenudecadre"/>
                              <w:overflowPunct w:val="true"/>
                              <w:spacing w:lineRule="auto" w:line="240" w:before="0" w:after="0"/>
                              <w:jc w:val="both"/>
                              <w:rPr/>
                            </w:pPr>
                            <w:r>
                              <w:rPr>
                                <w:rFonts w:eastAsia="Calibri" w:cs="" w:cstheme="minorBidi" w:eastAsiaTheme="minorHAnsi"/>
                                <w:b w:val="false"/>
                                <w:bCs w:val="false"/>
                                <w:color w:val="auto"/>
                              </w:rPr>
                              <w:t>Face à ce démarrage difficile et a</w:t>
                            </w:r>
                            <w:r>
                              <w:rPr>
                                <w:rFonts w:eastAsia="Calibri" w:cs="" w:cstheme="minorBidi" w:eastAsiaTheme="minorHAnsi"/>
                                <w:b w:val="false"/>
                                <w:bCs w:val="false"/>
                                <w:color w:val="auto"/>
                              </w:rPr>
                              <w:t xml:space="preserve">fin de favoriser l’engagement des employeurs et de lever d’éventuels freins liés </w:t>
                            </w:r>
                            <w:r>
                              <w:rPr>
                                <w:rFonts w:eastAsia="Calibri" w:cs="" w:cstheme="minorBidi" w:eastAsiaTheme="minorHAnsi"/>
                                <w:b w:val="false"/>
                                <w:bCs w:val="false"/>
                                <w:color w:val="auto"/>
                              </w:rPr>
                              <w:t xml:space="preserve">à un manque de connaissance des dispositifs, des souplesses ont été </w:t>
                            </w:r>
                            <w:r>
                              <w:rPr>
                                <w:rFonts w:eastAsia="Calibri" w:cs="" w:cstheme="minorBidi" w:eastAsiaTheme="minorHAnsi"/>
                                <w:b w:val="false"/>
                                <w:bCs w:val="false"/>
                                <w:color w:val="auto"/>
                              </w:rPr>
                              <w:t xml:space="preserve"> </w:t>
                            </w:r>
                            <w:r>
                              <w:rPr>
                                <w:rFonts w:eastAsia="Calibri" w:cs="" w:cstheme="minorBidi" w:eastAsiaTheme="minorHAnsi"/>
                                <w:b w:val="false"/>
                                <w:bCs w:val="false"/>
                                <w:color w:val="auto"/>
                              </w:rPr>
                              <w:t xml:space="preserve">accordées concernant aussi bien les formations à la charge des employeurs que les mesures d’accompagnement des bénéficiaires.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jc w:val="both"/>
                        <w:rPr/>
                      </w:pPr>
                      <w:r>
                        <w:rPr>
                          <w:rFonts w:eastAsia="Calibri" w:cs="" w:cstheme="minorBidi" w:eastAsiaTheme="minorHAnsi"/>
                          <w:b w:val="false"/>
                          <w:bCs w:val="false"/>
                          <w:color w:val="auto"/>
                        </w:rPr>
                        <w:t xml:space="preserve">Au 16 avril 2021, 336  entrées en CIE selon la DREETS </w:t>
                      </w:r>
                      <w:r>
                        <w:rPr>
                          <w:rFonts w:eastAsia="Calibri" w:cs="" w:cstheme="minorBidi" w:eastAsiaTheme="minorHAnsi"/>
                          <w:b w:val="false"/>
                          <w:bCs w:val="false"/>
                          <w:color w:val="auto"/>
                        </w:rPr>
                        <w:t>pour un objectif annuel de 2478 CIE dans le Nord</w:t>
                      </w:r>
                      <w:r>
                        <w:rPr>
                          <w:rFonts w:eastAsia="Calibri" w:cs="" w:cstheme="minorBidi" w:eastAsiaTheme="minorHAnsi"/>
                          <w:b w:val="false"/>
                          <w:bCs w:val="false"/>
                          <w:color w:val="auto"/>
                        </w:rPr>
                        <w:t>.</w:t>
                      </w:r>
                      <w:r>
                        <w:rPr>
                          <w:rFonts w:eastAsia="Calibri" w:cs="" w:cstheme="minorBidi" w:eastAsiaTheme="minorHAnsi"/>
                          <w:b w:val="false"/>
                          <w:bCs w:val="false"/>
                          <w:color w:val="auto"/>
                        </w:rPr>
                        <w:t xml:space="preserve">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auto"/>
                        </w:rPr>
                      </w:pPr>
                      <w:r>
                        <w:rPr/>
                      </w:r>
                    </w:p>
                    <w:p>
                      <w:pPr>
                        <w:pStyle w:val="Contenudecadre"/>
                        <w:overflowPunct w:val="true"/>
                        <w:spacing w:lineRule="auto" w:line="240" w:before="0" w:after="0"/>
                        <w:jc w:val="both"/>
                        <w:rPr/>
                      </w:pPr>
                      <w:r>
                        <w:rPr>
                          <w:rFonts w:eastAsia="Calibri" w:cs="" w:cstheme="minorBidi" w:eastAsiaTheme="minorHAnsi"/>
                          <w:b w:val="false"/>
                          <w:bCs w:val="false"/>
                          <w:color w:val="auto"/>
                        </w:rPr>
                        <w:t>Face à ce démarrage difficile et a</w:t>
                      </w:r>
                      <w:r>
                        <w:rPr>
                          <w:rFonts w:eastAsia="Calibri" w:cs="" w:cstheme="minorBidi" w:eastAsiaTheme="minorHAnsi"/>
                          <w:b w:val="false"/>
                          <w:bCs w:val="false"/>
                          <w:color w:val="auto"/>
                        </w:rPr>
                        <w:t xml:space="preserve">fin de favoriser l’engagement des employeurs et de lever d’éventuels freins liés </w:t>
                      </w:r>
                      <w:r>
                        <w:rPr>
                          <w:rFonts w:eastAsia="Calibri" w:cs="" w:cstheme="minorBidi" w:eastAsiaTheme="minorHAnsi"/>
                          <w:b w:val="false"/>
                          <w:bCs w:val="false"/>
                          <w:color w:val="auto"/>
                        </w:rPr>
                        <w:t xml:space="preserve">à un manque de connaissance des dispositifs, des souplesses ont été </w:t>
                      </w:r>
                      <w:r>
                        <w:rPr>
                          <w:rFonts w:eastAsia="Calibri" w:cs="" w:cstheme="minorBidi" w:eastAsiaTheme="minorHAnsi"/>
                          <w:b w:val="false"/>
                          <w:bCs w:val="false"/>
                          <w:color w:val="auto"/>
                        </w:rPr>
                        <w:t xml:space="preserve"> </w:t>
                      </w:r>
                      <w:r>
                        <w:rPr>
                          <w:rFonts w:eastAsia="Calibri" w:cs="" w:cstheme="minorBidi" w:eastAsiaTheme="minorHAnsi"/>
                          <w:b w:val="false"/>
                          <w:bCs w:val="false"/>
                          <w:color w:val="auto"/>
                        </w:rPr>
                        <w:t xml:space="preserve">accordées concernant aussi bien les formations à la charge des employeurs que les mesures d’accompagnement des bénéficiaires.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2670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r>
              <w:rPr>
                <w:b/>
                <w:bCs/>
                <w:sz w:val="20"/>
                <w:szCs w:val="20"/>
              </w:rPr>
              <w:t>: Hauts-de-France</w:t>
            </w:r>
            <w:bookmarkEnd w:id="1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4583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3387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2670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2025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1357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4080" cy="2425065"/>
                <wp:effectExtent l="0" t="0" r="0" b="0"/>
                <wp:wrapNone/>
                <wp:docPr id="93"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8245" cy="139065"/>
                <wp:effectExtent l="0" t="0" r="0" b="0"/>
                <wp:wrapNone/>
                <wp:docPr id="94"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4080" cy="2651125"/>
                <wp:effectExtent l="0" t="0" r="0" b="0"/>
                <wp:wrapNone/>
                <wp:docPr id="96"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Le doublement du nombre de contrats en l’espace de 2 mois traduit une bonne progression du dispositif.</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Le doublement du nombre de contrats en l’espace de 2 mois traduit une bonne progression du dispositif.</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10156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r>
              <w:rPr>
                <w:b/>
                <w:bCs/>
                <w:sz w:val="20"/>
                <w:szCs w:val="20"/>
              </w:rPr>
              <w:t>: Hauts-de-France</w:t>
            </w:r>
            <w:bookmarkEnd w:id="1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19878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17659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10156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8927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8086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4080" cy="2425065"/>
                <wp:effectExtent l="0" t="0" r="0" b="0"/>
                <wp:wrapNone/>
                <wp:docPr id="98"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8245" cy="139065"/>
                <wp:effectExtent l="0" t="0" r="0" b="0"/>
                <wp:wrapNone/>
                <wp:docPr id="99"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4080" cy="2651125"/>
                <wp:effectExtent l="0" t="0" r="0" b="0"/>
                <wp:wrapNone/>
                <wp:docPr id="101"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La bonne progression du dispositif « garantie jeune » se fait parfois au détriment d’autres contrats aidés qui se retrouvent en concurrence.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La bonne progression du dispositif « garantie jeune » se fait parfois au détriment d’autres contrats aidés qui se retrouvent en concurrence.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1668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r>
              <w:rPr>
                <w:b/>
                <w:bCs/>
                <w:sz w:val="20"/>
                <w:szCs w:val="20"/>
              </w:rPr>
              <w:t>: Hauts-de-France</w:t>
            </w:r>
            <w:bookmarkEnd w:id="1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3366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2881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2471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1668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1430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1200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4080" cy="2425065"/>
                <wp:effectExtent l="0" t="0" r="0" b="0"/>
                <wp:wrapNone/>
                <wp:docPr id="103"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8245" cy="139065"/>
                <wp:effectExtent l="0" t="0" r="0" b="0"/>
                <wp:wrapNone/>
                <wp:docPr id="104"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4080" cy="2651125"/>
                <wp:effectExtent l="0" t="0" r="0" b="0"/>
                <wp:wrapNone/>
                <wp:docPr id="106"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Fonts w:eastAsia="Calibri" w:cs="" w:cstheme="minorBidi" w:eastAsiaTheme="minorHAnsi"/>
                                <w:b w:val="false"/>
                                <w:bCs w:val="false"/>
                                <w:color w:val="auto"/>
                              </w:rPr>
                              <w:t xml:space="preserve">1303 PEC au 16 avril 2021 selon la DREETS </w:t>
                            </w:r>
                            <w:r>
                              <w:rPr>
                                <w:rFonts w:eastAsia="Calibri" w:cs="" w:cstheme="minorBidi" w:eastAsiaTheme="minorHAnsi"/>
                                <w:b w:val="false"/>
                                <w:bCs w:val="false"/>
                                <w:color w:val="auto"/>
                              </w:rPr>
                              <w:t>pour un objectif annuel de 4160 PEC Jeunes dans le Nord</w:t>
                            </w:r>
                            <w:r>
                              <w:rPr>
                                <w:rFonts w:eastAsia="Calibri" w:cs="" w:cstheme="minorBidi" w:eastAsiaTheme="minorHAnsi"/>
                                <w:b w:val="false"/>
                                <w:bCs w:val="false"/>
                                <w:color w:val="auto"/>
                              </w:rPr>
                              <w:t>.</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Normal"/>
                              <w:overflowPunct w:val="true"/>
                              <w:spacing w:lineRule="auto" w:line="240" w:before="0" w:after="0"/>
                              <w:jc w:val="both"/>
                              <w:rPr/>
                            </w:pPr>
                            <w:r>
                              <w:rPr>
                                <w:rFonts w:eastAsia="Calibri" w:cs="" w:cstheme="minorBidi" w:eastAsiaTheme="minorHAnsi"/>
                                <w:b w:val="false"/>
                                <w:bCs w:val="false"/>
                                <w:color w:val="auto"/>
                              </w:rPr>
                              <w:t>Face à ce démarrage difficile et a</w:t>
                            </w:r>
                            <w:r>
                              <w:rPr>
                                <w:rFonts w:eastAsia="Calibri" w:cs="" w:cstheme="minorBidi" w:eastAsiaTheme="minorHAnsi"/>
                                <w:b w:val="false"/>
                                <w:bCs w:val="false"/>
                                <w:color w:val="auto"/>
                              </w:rPr>
                              <w:t xml:space="preserve">fin de favoriser l’engagement des employeurs et de lever d’éventuels freins liés </w:t>
                            </w:r>
                            <w:r>
                              <w:rPr>
                                <w:rFonts w:eastAsia="Calibri" w:cs="" w:cstheme="minorBidi" w:eastAsiaTheme="minorHAnsi"/>
                                <w:b w:val="false"/>
                                <w:bCs w:val="false"/>
                                <w:color w:val="auto"/>
                              </w:rPr>
                              <w:t xml:space="preserve">à un manque de connaissance des dispositifs, des souplesses ont été </w:t>
                            </w:r>
                            <w:r>
                              <w:rPr>
                                <w:rFonts w:eastAsia="Calibri" w:cs="" w:cstheme="minorBidi" w:eastAsiaTheme="minorHAnsi"/>
                                <w:b w:val="false"/>
                                <w:bCs w:val="false"/>
                                <w:color w:val="auto"/>
                              </w:rPr>
                              <w:t xml:space="preserve"> </w:t>
                            </w:r>
                            <w:r>
                              <w:rPr>
                                <w:rFonts w:eastAsia="Calibri" w:cs="" w:cstheme="minorBidi" w:eastAsiaTheme="minorHAnsi"/>
                                <w:b w:val="false"/>
                                <w:bCs w:val="false"/>
                                <w:color w:val="auto"/>
                              </w:rPr>
                              <w:t xml:space="preserve">accordées concernant aussi bien les formations à la charge des employeurs que les mesures d’accompagnement des bénéficiaires.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Fonts w:eastAsia="Calibri" w:cs="" w:cstheme="minorBidi" w:eastAsiaTheme="minorHAnsi"/>
                          <w:b w:val="false"/>
                          <w:bCs w:val="false"/>
                          <w:color w:val="auto"/>
                        </w:rPr>
                        <w:t xml:space="preserve">1303 PEC au 16 avril 2021 selon la DREETS </w:t>
                      </w:r>
                      <w:r>
                        <w:rPr>
                          <w:rFonts w:eastAsia="Calibri" w:cs="" w:cstheme="minorBidi" w:eastAsiaTheme="minorHAnsi"/>
                          <w:b w:val="false"/>
                          <w:bCs w:val="false"/>
                          <w:color w:val="auto"/>
                        </w:rPr>
                        <w:t>pour un objectif annuel de 4160 PEC Jeunes dans le Nord</w:t>
                      </w:r>
                      <w:r>
                        <w:rPr>
                          <w:rFonts w:eastAsia="Calibri" w:cs="" w:cstheme="minorBidi" w:eastAsiaTheme="minorHAnsi"/>
                          <w:b w:val="false"/>
                          <w:bCs w:val="false"/>
                          <w:color w:val="auto"/>
                        </w:rPr>
                        <w:t>.</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Normal"/>
                        <w:overflowPunct w:val="true"/>
                        <w:spacing w:lineRule="auto" w:line="240" w:before="0" w:after="0"/>
                        <w:jc w:val="both"/>
                        <w:rPr/>
                      </w:pPr>
                      <w:r>
                        <w:rPr>
                          <w:rFonts w:eastAsia="Calibri" w:cs="" w:cstheme="minorBidi" w:eastAsiaTheme="minorHAnsi"/>
                          <w:b w:val="false"/>
                          <w:bCs w:val="false"/>
                          <w:color w:val="auto"/>
                        </w:rPr>
                        <w:t>Face à ce démarrage difficile et a</w:t>
                      </w:r>
                      <w:r>
                        <w:rPr>
                          <w:rFonts w:eastAsia="Calibri" w:cs="" w:cstheme="minorBidi" w:eastAsiaTheme="minorHAnsi"/>
                          <w:b w:val="false"/>
                          <w:bCs w:val="false"/>
                          <w:color w:val="auto"/>
                        </w:rPr>
                        <w:t xml:space="preserve">fin de favoriser l’engagement des employeurs et de lever d’éventuels freins liés </w:t>
                      </w:r>
                      <w:r>
                        <w:rPr>
                          <w:rFonts w:eastAsia="Calibri" w:cs="" w:cstheme="minorBidi" w:eastAsiaTheme="minorHAnsi"/>
                          <w:b w:val="false"/>
                          <w:bCs w:val="false"/>
                          <w:color w:val="auto"/>
                        </w:rPr>
                        <w:t xml:space="preserve">à un manque de connaissance des dispositifs, des souplesses ont été </w:t>
                      </w:r>
                      <w:r>
                        <w:rPr>
                          <w:rFonts w:eastAsia="Calibri" w:cs="" w:cstheme="minorBidi" w:eastAsiaTheme="minorHAnsi"/>
                          <w:b w:val="false"/>
                          <w:bCs w:val="false"/>
                          <w:color w:val="auto"/>
                        </w:rPr>
                        <w:t xml:space="preserve"> </w:t>
                      </w:r>
                      <w:r>
                        <w:rPr>
                          <w:rFonts w:eastAsia="Calibri" w:cs="" w:cstheme="minorBidi" w:eastAsiaTheme="minorHAnsi"/>
                          <w:b w:val="false"/>
                          <w:bCs w:val="false"/>
                          <w:color w:val="auto"/>
                        </w:rPr>
                        <w:t xml:space="preserve">accordées concernant aussi bien les formations à la charge des employeurs que les mesures d’accompagnement des bénéficiaires.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4132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r>
              <w:rPr>
                <w:b/>
                <w:bCs/>
                <w:sz w:val="20"/>
                <w:szCs w:val="20"/>
              </w:rPr>
              <w:t>: Hauts-de-France</w:t>
            </w:r>
            <w:bookmarkEnd w:id="1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8685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7751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Nord</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4132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3879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3685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4080" cy="2425065"/>
                <wp:effectExtent l="0" t="0" r="0" b="0"/>
                <wp:wrapNone/>
                <wp:docPr id="108" name="Forme2"/>
                <a:graphic xmlns:a="http://schemas.openxmlformats.org/drawingml/2006/main">
                  <a:graphicData uri="http://schemas.microsoft.com/office/word/2010/wordprocessingShape">
                    <wps:wsp>
                      <wps:cNvSpPr/>
                      <wps:spPr>
                        <a:xfrm>
                          <a:off x="0" y="0"/>
                          <a:ext cx="5973480" cy="2424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pt;height:190.8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8245" cy="139065"/>
                <wp:effectExtent l="0" t="0" r="0" b="0"/>
                <wp:wrapNone/>
                <wp:docPr id="109" name="Forme1"/>
                <a:graphic xmlns:a="http://schemas.openxmlformats.org/drawingml/2006/main">
                  <a:graphicData uri="http://schemas.microsoft.com/office/word/2010/wordprocessingShape">
                    <wps:wsp>
                      <wps:cNvSpPr/>
                      <wps:spPr>
                        <a:xfrm>
                          <a:off x="0" y="0"/>
                          <a:ext cx="75477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65405</wp:posOffset>
                </wp:positionV>
                <wp:extent cx="5974080" cy="2651125"/>
                <wp:effectExtent l="0" t="0" r="0" b="0"/>
                <wp:wrapNone/>
                <wp:docPr id="111" name="Cadre1"/>
                <a:graphic xmlns:a="http://schemas.openxmlformats.org/drawingml/2006/main">
                  <a:graphicData uri="http://schemas.microsoft.com/office/word/2010/wordprocessingShape">
                    <wps:wsp>
                      <wps:cNvSpPr/>
                      <wps:spPr>
                        <a:xfrm>
                          <a:off x="0" y="0"/>
                          <a:ext cx="5973480" cy="265032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ascii="Arial" w:hAnsi="Arial"/>
                                <w:b w:val="false"/>
                                <w:bCs w:val="false"/>
                                <w:color w:val="auto"/>
                                <w:sz w:val="20"/>
                                <w:szCs w:val="20"/>
                              </w:rPr>
                              <w:t xml:space="preserve">Depuis 2015, la DDCS (désormais SDJES depuis le 1er janvier </w:t>
                            </w:r>
                            <w:r>
                              <w:rPr>
                                <w:rFonts w:eastAsia="Calibri" w:cs="" w:cstheme="minorBidi" w:eastAsiaTheme="minorHAnsi" w:ascii="Arial" w:hAnsi="Arial"/>
                                <w:b w:val="false"/>
                                <w:bCs w:val="false"/>
                                <w:color w:val="auto"/>
                                <w:sz w:val="20"/>
                                <w:szCs w:val="20"/>
                              </w:rPr>
                              <w:t>2021</w:t>
                            </w:r>
                            <w:r>
                              <w:rPr>
                                <w:rFonts w:eastAsia="Calibri" w:cs="" w:cstheme="minorBidi" w:eastAsiaTheme="minorHAnsi" w:ascii="Arial" w:hAnsi="Arial"/>
                                <w:b w:val="false"/>
                                <w:bCs w:val="false"/>
                                <w:color w:val="auto"/>
                                <w:sz w:val="20"/>
                                <w:szCs w:val="20"/>
                              </w:rPr>
                              <w:t xml:space="preserve">) s'appuie sur un réseau de partenaires </w:t>
                            </w:r>
                            <w:r>
                              <w:rPr>
                                <w:rFonts w:eastAsia="Calibri" w:cs="" w:cstheme="minorBidi" w:eastAsiaTheme="minorHAnsi" w:ascii="Arial" w:hAnsi="Arial"/>
                                <w:b w:val="false"/>
                                <w:bCs w:val="false"/>
                                <w:color w:val="auto"/>
                                <w:sz w:val="20"/>
                                <w:szCs w:val="20"/>
                              </w:rPr>
                              <w:t>tiers</w:t>
                            </w:r>
                            <w:r>
                              <w:rPr>
                                <w:rFonts w:eastAsia="Calibri" w:cs="" w:cstheme="minorBidi" w:eastAsiaTheme="minorHAnsi" w:ascii="Arial" w:hAnsi="Arial"/>
                                <w:b w:val="false"/>
                                <w:bCs w:val="false"/>
                                <w:color w:val="auto"/>
                                <w:sz w:val="20"/>
                                <w:szCs w:val="20"/>
                              </w:rPr>
                              <w:t xml:space="preserve"> de confiance chargés de contribuer au développement du dispositif par la mise en place d'actions de promotion, d'information du public cible, d'évènements et d'accompagnement des structures dans leur demande d'agrément </w:t>
                            </w:r>
                            <w:r>
                              <w:rPr>
                                <w:rFonts w:eastAsia="Calibri" w:cs="" w:cstheme="minorBidi" w:eastAsiaTheme="minorHAnsi" w:ascii="Arial" w:hAnsi="Arial"/>
                                <w:b w:val="false"/>
                                <w:bCs w:val="false"/>
                                <w:color w:val="auto"/>
                                <w:sz w:val="20"/>
                                <w:szCs w:val="20"/>
                              </w:rPr>
                              <w:t>des services civiques</w:t>
                            </w:r>
                            <w:r>
                              <w:rPr>
                                <w:rFonts w:eastAsia="Calibri" w:cs="" w:cstheme="minorBidi" w:eastAsiaTheme="minorHAnsi" w:ascii="Arial" w:hAnsi="Arial"/>
                                <w:b w:val="false"/>
                                <w:bCs w:val="false"/>
                                <w:color w:val="auto"/>
                                <w:sz w:val="20"/>
                                <w:szCs w:val="20"/>
                              </w:rPr>
                              <w:t>. Ces points d'appui sont le relais de l'Etat pour assurer le maillage territorial.</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rPr>
                            </w:pPr>
                            <w:r>
                              <w:rPr>
                                <w:rFonts w:eastAsia="Calibri" w:cs="" w:cstheme="minorBidi" w:eastAsiaTheme="minorHAnsi" w:ascii="Arial" w:hAnsi="Arial"/>
                                <w:b w:val="false"/>
                                <w:bCs w:val="false"/>
                                <w:color w:val="auto"/>
                                <w:sz w:val="20"/>
                                <w:szCs w:val="20"/>
                              </w:rPr>
                              <w:t xml:space="preserve">L'objectif national de 245 000 jeunes en 2021 se traduit par une cible de 3344 postes à agréer à l'échelon départemental </w:t>
                            </w:r>
                            <w:r>
                              <w:rPr>
                                <w:rFonts w:eastAsia="Calibri" w:cs="" w:cstheme="minorBidi" w:eastAsiaTheme="minorHAnsi" w:ascii="Arial" w:hAnsi="Arial"/>
                                <w:b w:val="false"/>
                                <w:bCs w:val="false"/>
                                <w:color w:val="auto"/>
                                <w:sz w:val="20"/>
                                <w:szCs w:val="20"/>
                              </w:rPr>
                              <w:t xml:space="preserve">du Nord, en </w:t>
                            </w:r>
                            <w:r>
                              <w:rPr>
                                <w:rFonts w:eastAsia="Calibri" w:cs="" w:cstheme="minorBidi" w:eastAsiaTheme="minorHAnsi" w:ascii="Arial" w:hAnsi="Arial"/>
                                <w:b w:val="false"/>
                                <w:bCs w:val="false"/>
                                <w:color w:val="auto"/>
                                <w:sz w:val="20"/>
                                <w:szCs w:val="20"/>
                              </w:rPr>
                              <w:t>augmentation de 30% p</w:t>
                            </w:r>
                            <w:r>
                              <w:rPr>
                                <w:rFonts w:eastAsia="Calibri" w:cs="" w:cstheme="minorBidi" w:eastAsiaTheme="minorHAnsi" w:ascii="Arial" w:hAnsi="Arial"/>
                                <w:b w:val="false"/>
                                <w:bCs w:val="false"/>
                                <w:color w:val="auto"/>
                                <w:sz w:val="20"/>
                                <w:szCs w:val="20"/>
                              </w:rPr>
                              <w:t>ar rapport à 2020</w:t>
                            </w:r>
                            <w:r>
                              <w:rPr>
                                <w:rFonts w:eastAsia="Calibri" w:cs="" w:cstheme="minorBidi" w:eastAsiaTheme="minorHAnsi" w:ascii="Arial" w:hAnsi="Arial"/>
                                <w:b w:val="false"/>
                                <w:bCs w:val="false"/>
                                <w:color w:val="auto"/>
                                <w:sz w:val="20"/>
                                <w:szCs w:val="20"/>
                              </w:rPr>
                              <w:t xml:space="preserve">. Au 4 mai </w:t>
                            </w:r>
                            <w:r>
                              <w:rPr>
                                <w:rFonts w:eastAsia="Calibri" w:cs="" w:cstheme="minorBidi" w:eastAsiaTheme="minorHAnsi" w:ascii="Arial" w:hAnsi="Arial"/>
                                <w:b w:val="false"/>
                                <w:bCs w:val="false"/>
                                <w:color w:val="auto"/>
                                <w:sz w:val="20"/>
                                <w:szCs w:val="20"/>
                              </w:rPr>
                              <w:t>2021</w:t>
                            </w:r>
                            <w:r>
                              <w:rPr>
                                <w:rFonts w:eastAsia="Calibri" w:cs="" w:cstheme="minorBidi" w:eastAsiaTheme="minorHAnsi" w:ascii="Arial" w:hAnsi="Arial"/>
                                <w:b w:val="false"/>
                                <w:bCs w:val="false"/>
                                <w:color w:val="auto"/>
                                <w:sz w:val="20"/>
                                <w:szCs w:val="20"/>
                              </w:rPr>
                              <w:t xml:space="preserve">, 898 postes (sur les 3344) ont été agréés, soit 27% de l'objectif initial. </w:t>
                            </w:r>
                            <w:r>
                              <w:rPr>
                                <w:rFonts w:eastAsia="Calibri" w:cs="" w:cstheme="minorBidi" w:eastAsiaTheme="minorHAnsi" w:ascii="Arial" w:hAnsi="Arial"/>
                                <w:b w:val="false"/>
                                <w:bCs w:val="false"/>
                                <w:color w:val="auto"/>
                                <w:sz w:val="20"/>
                                <w:szCs w:val="20"/>
                              </w:rPr>
                              <w:t>C</w:t>
                            </w:r>
                            <w:r>
                              <w:rPr>
                                <w:rFonts w:eastAsia="Calibri" w:cs="" w:cstheme="minorBidi" w:eastAsiaTheme="minorHAnsi" w:ascii="Arial" w:hAnsi="Arial"/>
                                <w:b w:val="false"/>
                                <w:bCs w:val="false"/>
                                <w:color w:val="auto"/>
                                <w:sz w:val="20"/>
                                <w:szCs w:val="20"/>
                              </w:rPr>
                              <w:t xml:space="preserve">es données départementales sont établies en "flux", </w:t>
                            </w:r>
                            <w:r>
                              <w:rPr>
                                <w:rFonts w:eastAsia="Calibri" w:cs="" w:cstheme="minorBidi" w:eastAsiaTheme="minorHAnsi" w:ascii="Arial" w:hAnsi="Arial"/>
                                <w:b w:val="false"/>
                                <w:bCs w:val="false"/>
                                <w:color w:val="auto"/>
                                <w:sz w:val="20"/>
                                <w:szCs w:val="20"/>
                              </w:rPr>
                              <w:t>(</w:t>
                            </w:r>
                            <w:r>
                              <w:rPr>
                                <w:rFonts w:eastAsia="Calibri" w:cs="" w:cstheme="minorBidi" w:eastAsiaTheme="minorHAnsi" w:ascii="Arial" w:hAnsi="Arial"/>
                                <w:b w:val="false"/>
                                <w:bCs w:val="false"/>
                                <w:color w:val="auto"/>
                                <w:sz w:val="20"/>
                                <w:szCs w:val="20"/>
                              </w:rPr>
                              <w:t>contrats démarrant entre le 1er janvier et le 31 décembre 2021</w:t>
                            </w:r>
                            <w:r>
                              <w:rPr>
                                <w:rFonts w:eastAsia="Calibri" w:cs="" w:cstheme="minorBidi" w:eastAsiaTheme="minorHAnsi" w:ascii="Arial" w:hAnsi="Arial"/>
                                <w:b w:val="false"/>
                                <w:bCs w:val="false"/>
                                <w:color w:val="auto"/>
                                <w:sz w:val="20"/>
                                <w:szCs w:val="20"/>
                              </w:rPr>
                              <w:t>), tandis que l</w:t>
                            </w:r>
                            <w:r>
                              <w:rPr>
                                <w:rFonts w:eastAsia="Calibri" w:cs="" w:cstheme="minorBidi" w:eastAsiaTheme="minorHAnsi" w:ascii="Arial" w:hAnsi="Arial"/>
                                <w:b w:val="false"/>
                                <w:bCs w:val="false"/>
                                <w:color w:val="auto"/>
                                <w:sz w:val="20"/>
                                <w:szCs w:val="20"/>
                              </w:rPr>
                              <w:t xml:space="preserve">es 4132 postes évoqués dans </w:t>
                            </w:r>
                            <w:r>
                              <w:rPr>
                                <w:rFonts w:eastAsia="Calibri" w:cs="" w:cstheme="minorBidi" w:eastAsiaTheme="minorHAnsi" w:ascii="Arial" w:hAnsi="Arial"/>
                                <w:b w:val="false"/>
                                <w:bCs w:val="false"/>
                                <w:color w:val="auto"/>
                                <w:sz w:val="20"/>
                                <w:szCs w:val="20"/>
                              </w:rPr>
                              <w:t>le tableau</w:t>
                            </w:r>
                            <w:r>
                              <w:rPr>
                                <w:rFonts w:eastAsia="Calibri" w:cs="" w:cstheme="minorBidi" w:eastAsiaTheme="minorHAnsi" w:ascii="Arial" w:hAnsi="Arial"/>
                                <w:b w:val="false"/>
                                <w:bCs w:val="false"/>
                                <w:color w:val="auto"/>
                                <w:sz w:val="20"/>
                                <w:szCs w:val="20"/>
                              </w:rPr>
                              <w:t xml:space="preserve"> correspondent au "stock" </w:t>
                            </w:r>
                            <w:r>
                              <w:rPr>
                                <w:rFonts w:eastAsia="Calibri" w:cs="" w:cstheme="minorBidi" w:eastAsiaTheme="minorHAnsi" w:ascii="Arial" w:hAnsi="Arial"/>
                                <w:b w:val="false"/>
                                <w:bCs w:val="false"/>
                                <w:color w:val="auto"/>
                                <w:sz w:val="20"/>
                                <w:szCs w:val="20"/>
                              </w:rPr>
                              <w:t>(</w:t>
                            </w:r>
                            <w:r>
                              <w:rPr>
                                <w:rFonts w:eastAsia="Calibri" w:cs="" w:cstheme="minorBidi" w:eastAsiaTheme="minorHAnsi" w:ascii="Arial" w:hAnsi="Arial"/>
                                <w:b w:val="false"/>
                                <w:bCs w:val="false"/>
                                <w:color w:val="auto"/>
                                <w:sz w:val="20"/>
                                <w:szCs w:val="20"/>
                              </w:rPr>
                              <w:t>jeunes en mission au 1er janvier 2021 ayant démarré en 2020 + le cumul des entrées en 2021, tous agréments confondus</w:t>
                            </w:r>
                            <w:r>
                              <w:rPr>
                                <w:rFonts w:eastAsia="Calibri" w:cs="" w:cstheme="minorBidi" w:eastAsiaTheme="minorHAnsi" w:ascii="Arial" w:hAnsi="Arial"/>
                                <w:b w:val="false"/>
                                <w:bCs w:val="false"/>
                                <w:color w:val="auto"/>
                                <w:sz w:val="20"/>
                                <w:szCs w:val="20"/>
                              </w:rPr>
                              <w:t>)</w:t>
                            </w:r>
                            <w:r>
                              <w:rPr>
                                <w:rFonts w:eastAsia="Calibri" w:cs="" w:cstheme="minorBidi" w:eastAsiaTheme="minorHAnsi" w:ascii="Arial" w:hAnsi="Arial"/>
                                <w:b w:val="false"/>
                                <w:bCs w:val="false"/>
                                <w:color w:val="auto"/>
                                <w:sz w:val="20"/>
                                <w:szCs w:val="20"/>
                              </w:rPr>
                              <w:t xml:space="preserve">.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ascii="Arial" w:hAnsi="Arial"/>
                                <w:b w:val="false"/>
                                <w:bCs w:val="false"/>
                                <w:color w:val="auto"/>
                                <w:sz w:val="20"/>
                                <w:szCs w:val="20"/>
                              </w:rPr>
                              <w:t xml:space="preserve">Pour atteindre cet objectif, </w:t>
                            </w:r>
                            <w:r>
                              <w:rPr>
                                <w:rFonts w:eastAsia="Calibri" w:cs="" w:cstheme="minorBidi" w:eastAsiaTheme="minorHAnsi" w:ascii="Arial" w:hAnsi="Arial"/>
                                <w:b w:val="false"/>
                                <w:bCs w:val="false"/>
                                <w:color w:val="auto"/>
                                <w:sz w:val="20"/>
                                <w:szCs w:val="20"/>
                              </w:rPr>
                              <w:t>un</w:t>
                            </w:r>
                            <w:r>
                              <w:rPr>
                                <w:rFonts w:eastAsia="Calibri" w:cs="" w:cstheme="minorBidi" w:eastAsiaTheme="minorHAnsi" w:ascii="Arial" w:hAnsi="Arial"/>
                                <w:b w:val="false"/>
                                <w:bCs w:val="false"/>
                                <w:color w:val="auto"/>
                                <w:sz w:val="20"/>
                                <w:szCs w:val="20"/>
                              </w:rPr>
                              <w:t xml:space="preserve"> plan d'actions départemental articul</w:t>
                            </w:r>
                            <w:r>
                              <w:rPr>
                                <w:rFonts w:eastAsia="Calibri" w:cs="" w:cstheme="minorBidi" w:eastAsiaTheme="minorHAnsi" w:ascii="Arial" w:hAnsi="Arial"/>
                                <w:b w:val="false"/>
                                <w:bCs w:val="false"/>
                                <w:color w:val="auto"/>
                                <w:sz w:val="20"/>
                                <w:szCs w:val="20"/>
                              </w:rPr>
                              <w:t>é</w:t>
                            </w:r>
                            <w:r>
                              <w:rPr>
                                <w:rFonts w:eastAsia="Calibri" w:cs="" w:cstheme="minorBidi" w:eastAsiaTheme="minorHAnsi" w:ascii="Arial" w:hAnsi="Arial"/>
                                <w:b w:val="false"/>
                                <w:bCs w:val="false"/>
                                <w:color w:val="auto"/>
                                <w:sz w:val="20"/>
                                <w:szCs w:val="20"/>
                              </w:rPr>
                              <w:t xml:space="preserve"> autour de 5 axes </w:t>
                            </w:r>
                            <w:r>
                              <w:rPr>
                                <w:rFonts w:eastAsia="Calibri" w:cs="" w:cstheme="minorBidi" w:eastAsiaTheme="minorHAnsi" w:ascii="Arial" w:hAnsi="Arial"/>
                                <w:b w:val="false"/>
                                <w:bCs w:val="false"/>
                                <w:color w:val="auto"/>
                                <w:sz w:val="20"/>
                                <w:szCs w:val="20"/>
                              </w:rPr>
                              <w:t>a été adopté.</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rPr>
                            </w:pPr>
                            <w:r>
                              <w:rPr>
                                <w:rFonts w:eastAsia="Calibri" w:cs="" w:cstheme="minorBidi" w:eastAsiaTheme="minorHAnsi" w:ascii="Arial" w:hAnsi="Arial"/>
                                <w:b w:val="false"/>
                                <w:bCs w:val="false"/>
                                <w:color w:val="auto"/>
                                <w:sz w:val="20"/>
                                <w:szCs w:val="20"/>
                              </w:rPr>
                              <w:t xml:space="preserve">Dès le dernier trimestre 2020, dans le cadre du plan 1 jeune/1 solution, les collectivités territoriales ont été destinataires d'un courrier accompagné de missions type à proposer. </w:t>
                            </w:r>
                            <w:r>
                              <w:rPr>
                                <w:rFonts w:eastAsia="Calibri" w:cs="" w:cstheme="minorBidi" w:eastAsiaTheme="minorHAnsi" w:ascii="Arial" w:hAnsi="Arial"/>
                                <w:b w:val="false"/>
                                <w:bCs w:val="false"/>
                                <w:color w:val="auto"/>
                                <w:sz w:val="20"/>
                                <w:szCs w:val="20"/>
                              </w:rPr>
                              <w:t>Actuellement</w:t>
                            </w:r>
                            <w:r>
                              <w:rPr>
                                <w:rFonts w:eastAsia="Calibri" w:cs="" w:cstheme="minorBidi" w:eastAsiaTheme="minorHAnsi" w:ascii="Arial" w:hAnsi="Arial"/>
                                <w:b w:val="false"/>
                                <w:bCs w:val="false"/>
                                <w:color w:val="auto"/>
                                <w:sz w:val="20"/>
                                <w:szCs w:val="20"/>
                              </w:rPr>
                              <w:t>, les collectivités représentent 15% des organismes agréés contre 6% l'année dernière.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5.15pt;width:470.3pt;height:208.6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ascii="Arial" w:hAnsi="Arial"/>
                          <w:b w:val="false"/>
                          <w:bCs w:val="false"/>
                          <w:color w:val="auto"/>
                          <w:sz w:val="20"/>
                          <w:szCs w:val="20"/>
                        </w:rPr>
                        <w:t xml:space="preserve">Depuis 2015, la DDCS (désormais SDJES depuis le 1er janvier </w:t>
                      </w:r>
                      <w:r>
                        <w:rPr>
                          <w:rFonts w:eastAsia="Calibri" w:cs="" w:cstheme="minorBidi" w:eastAsiaTheme="minorHAnsi" w:ascii="Arial" w:hAnsi="Arial"/>
                          <w:b w:val="false"/>
                          <w:bCs w:val="false"/>
                          <w:color w:val="auto"/>
                          <w:sz w:val="20"/>
                          <w:szCs w:val="20"/>
                        </w:rPr>
                        <w:t>2021</w:t>
                      </w:r>
                      <w:r>
                        <w:rPr>
                          <w:rFonts w:eastAsia="Calibri" w:cs="" w:cstheme="minorBidi" w:eastAsiaTheme="minorHAnsi" w:ascii="Arial" w:hAnsi="Arial"/>
                          <w:b w:val="false"/>
                          <w:bCs w:val="false"/>
                          <w:color w:val="auto"/>
                          <w:sz w:val="20"/>
                          <w:szCs w:val="20"/>
                        </w:rPr>
                        <w:t xml:space="preserve">) s'appuie sur un réseau de partenaires </w:t>
                      </w:r>
                      <w:r>
                        <w:rPr>
                          <w:rFonts w:eastAsia="Calibri" w:cs="" w:cstheme="minorBidi" w:eastAsiaTheme="minorHAnsi" w:ascii="Arial" w:hAnsi="Arial"/>
                          <w:b w:val="false"/>
                          <w:bCs w:val="false"/>
                          <w:color w:val="auto"/>
                          <w:sz w:val="20"/>
                          <w:szCs w:val="20"/>
                        </w:rPr>
                        <w:t>tiers</w:t>
                      </w:r>
                      <w:r>
                        <w:rPr>
                          <w:rFonts w:eastAsia="Calibri" w:cs="" w:cstheme="minorBidi" w:eastAsiaTheme="minorHAnsi" w:ascii="Arial" w:hAnsi="Arial"/>
                          <w:b w:val="false"/>
                          <w:bCs w:val="false"/>
                          <w:color w:val="auto"/>
                          <w:sz w:val="20"/>
                          <w:szCs w:val="20"/>
                        </w:rPr>
                        <w:t xml:space="preserve"> de confiance chargés de contribuer au développement du dispositif par la mise en place d'actions de promotion, d'information du public cible, d'évènements et d'accompagnement des structures dans leur demande d'agrément </w:t>
                      </w:r>
                      <w:r>
                        <w:rPr>
                          <w:rFonts w:eastAsia="Calibri" w:cs="" w:cstheme="minorBidi" w:eastAsiaTheme="minorHAnsi" w:ascii="Arial" w:hAnsi="Arial"/>
                          <w:b w:val="false"/>
                          <w:bCs w:val="false"/>
                          <w:color w:val="auto"/>
                          <w:sz w:val="20"/>
                          <w:szCs w:val="20"/>
                        </w:rPr>
                        <w:t>des services civiques</w:t>
                      </w:r>
                      <w:r>
                        <w:rPr>
                          <w:rFonts w:eastAsia="Calibri" w:cs="" w:cstheme="minorBidi" w:eastAsiaTheme="minorHAnsi" w:ascii="Arial" w:hAnsi="Arial"/>
                          <w:b w:val="false"/>
                          <w:bCs w:val="false"/>
                          <w:color w:val="auto"/>
                          <w:sz w:val="20"/>
                          <w:szCs w:val="20"/>
                        </w:rPr>
                        <w:t>. Ces points d'appui sont le relais de l'Etat pour assurer le maillage territorial.</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rPr>
                      </w:pPr>
                      <w:r>
                        <w:rPr>
                          <w:rFonts w:eastAsia="Calibri" w:cs="" w:cstheme="minorBidi" w:eastAsiaTheme="minorHAnsi" w:ascii="Arial" w:hAnsi="Arial"/>
                          <w:b w:val="false"/>
                          <w:bCs w:val="false"/>
                          <w:color w:val="auto"/>
                          <w:sz w:val="20"/>
                          <w:szCs w:val="20"/>
                        </w:rPr>
                        <w:t xml:space="preserve">L'objectif national de 245 000 jeunes en 2021 se traduit par une cible de 3344 postes à agréer à l'échelon départemental </w:t>
                      </w:r>
                      <w:r>
                        <w:rPr>
                          <w:rFonts w:eastAsia="Calibri" w:cs="" w:cstheme="minorBidi" w:eastAsiaTheme="minorHAnsi" w:ascii="Arial" w:hAnsi="Arial"/>
                          <w:b w:val="false"/>
                          <w:bCs w:val="false"/>
                          <w:color w:val="auto"/>
                          <w:sz w:val="20"/>
                          <w:szCs w:val="20"/>
                        </w:rPr>
                        <w:t xml:space="preserve">du Nord, en </w:t>
                      </w:r>
                      <w:r>
                        <w:rPr>
                          <w:rFonts w:eastAsia="Calibri" w:cs="" w:cstheme="minorBidi" w:eastAsiaTheme="minorHAnsi" w:ascii="Arial" w:hAnsi="Arial"/>
                          <w:b w:val="false"/>
                          <w:bCs w:val="false"/>
                          <w:color w:val="auto"/>
                          <w:sz w:val="20"/>
                          <w:szCs w:val="20"/>
                        </w:rPr>
                        <w:t>augmentation de 30% p</w:t>
                      </w:r>
                      <w:r>
                        <w:rPr>
                          <w:rFonts w:eastAsia="Calibri" w:cs="" w:cstheme="minorBidi" w:eastAsiaTheme="minorHAnsi" w:ascii="Arial" w:hAnsi="Arial"/>
                          <w:b w:val="false"/>
                          <w:bCs w:val="false"/>
                          <w:color w:val="auto"/>
                          <w:sz w:val="20"/>
                          <w:szCs w:val="20"/>
                        </w:rPr>
                        <w:t>ar rapport à 2020</w:t>
                      </w:r>
                      <w:r>
                        <w:rPr>
                          <w:rFonts w:eastAsia="Calibri" w:cs="" w:cstheme="minorBidi" w:eastAsiaTheme="minorHAnsi" w:ascii="Arial" w:hAnsi="Arial"/>
                          <w:b w:val="false"/>
                          <w:bCs w:val="false"/>
                          <w:color w:val="auto"/>
                          <w:sz w:val="20"/>
                          <w:szCs w:val="20"/>
                        </w:rPr>
                        <w:t xml:space="preserve">. Au 4 mai </w:t>
                      </w:r>
                      <w:r>
                        <w:rPr>
                          <w:rFonts w:eastAsia="Calibri" w:cs="" w:cstheme="minorBidi" w:eastAsiaTheme="minorHAnsi" w:ascii="Arial" w:hAnsi="Arial"/>
                          <w:b w:val="false"/>
                          <w:bCs w:val="false"/>
                          <w:color w:val="auto"/>
                          <w:sz w:val="20"/>
                          <w:szCs w:val="20"/>
                        </w:rPr>
                        <w:t>2021</w:t>
                      </w:r>
                      <w:r>
                        <w:rPr>
                          <w:rFonts w:eastAsia="Calibri" w:cs="" w:cstheme="minorBidi" w:eastAsiaTheme="minorHAnsi" w:ascii="Arial" w:hAnsi="Arial"/>
                          <w:b w:val="false"/>
                          <w:bCs w:val="false"/>
                          <w:color w:val="auto"/>
                          <w:sz w:val="20"/>
                          <w:szCs w:val="20"/>
                        </w:rPr>
                        <w:t xml:space="preserve">, 898 postes (sur les 3344) ont été agréés, soit 27% de l'objectif initial. </w:t>
                      </w:r>
                      <w:r>
                        <w:rPr>
                          <w:rFonts w:eastAsia="Calibri" w:cs="" w:cstheme="minorBidi" w:eastAsiaTheme="minorHAnsi" w:ascii="Arial" w:hAnsi="Arial"/>
                          <w:b w:val="false"/>
                          <w:bCs w:val="false"/>
                          <w:color w:val="auto"/>
                          <w:sz w:val="20"/>
                          <w:szCs w:val="20"/>
                        </w:rPr>
                        <w:t>C</w:t>
                      </w:r>
                      <w:r>
                        <w:rPr>
                          <w:rFonts w:eastAsia="Calibri" w:cs="" w:cstheme="minorBidi" w:eastAsiaTheme="minorHAnsi" w:ascii="Arial" w:hAnsi="Arial"/>
                          <w:b w:val="false"/>
                          <w:bCs w:val="false"/>
                          <w:color w:val="auto"/>
                          <w:sz w:val="20"/>
                          <w:szCs w:val="20"/>
                        </w:rPr>
                        <w:t xml:space="preserve">es données départementales sont établies en "flux", </w:t>
                      </w:r>
                      <w:r>
                        <w:rPr>
                          <w:rFonts w:eastAsia="Calibri" w:cs="" w:cstheme="minorBidi" w:eastAsiaTheme="minorHAnsi" w:ascii="Arial" w:hAnsi="Arial"/>
                          <w:b w:val="false"/>
                          <w:bCs w:val="false"/>
                          <w:color w:val="auto"/>
                          <w:sz w:val="20"/>
                          <w:szCs w:val="20"/>
                        </w:rPr>
                        <w:t>(</w:t>
                      </w:r>
                      <w:r>
                        <w:rPr>
                          <w:rFonts w:eastAsia="Calibri" w:cs="" w:cstheme="minorBidi" w:eastAsiaTheme="minorHAnsi" w:ascii="Arial" w:hAnsi="Arial"/>
                          <w:b w:val="false"/>
                          <w:bCs w:val="false"/>
                          <w:color w:val="auto"/>
                          <w:sz w:val="20"/>
                          <w:szCs w:val="20"/>
                        </w:rPr>
                        <w:t>contrats démarrant entre le 1er janvier et le 31 décembre 2021</w:t>
                      </w:r>
                      <w:r>
                        <w:rPr>
                          <w:rFonts w:eastAsia="Calibri" w:cs="" w:cstheme="minorBidi" w:eastAsiaTheme="minorHAnsi" w:ascii="Arial" w:hAnsi="Arial"/>
                          <w:b w:val="false"/>
                          <w:bCs w:val="false"/>
                          <w:color w:val="auto"/>
                          <w:sz w:val="20"/>
                          <w:szCs w:val="20"/>
                        </w:rPr>
                        <w:t>), tandis que l</w:t>
                      </w:r>
                      <w:r>
                        <w:rPr>
                          <w:rFonts w:eastAsia="Calibri" w:cs="" w:cstheme="minorBidi" w:eastAsiaTheme="minorHAnsi" w:ascii="Arial" w:hAnsi="Arial"/>
                          <w:b w:val="false"/>
                          <w:bCs w:val="false"/>
                          <w:color w:val="auto"/>
                          <w:sz w:val="20"/>
                          <w:szCs w:val="20"/>
                        </w:rPr>
                        <w:t xml:space="preserve">es 4132 postes évoqués dans </w:t>
                      </w:r>
                      <w:r>
                        <w:rPr>
                          <w:rFonts w:eastAsia="Calibri" w:cs="" w:cstheme="minorBidi" w:eastAsiaTheme="minorHAnsi" w:ascii="Arial" w:hAnsi="Arial"/>
                          <w:b w:val="false"/>
                          <w:bCs w:val="false"/>
                          <w:color w:val="auto"/>
                          <w:sz w:val="20"/>
                          <w:szCs w:val="20"/>
                        </w:rPr>
                        <w:t>le tableau</w:t>
                      </w:r>
                      <w:r>
                        <w:rPr>
                          <w:rFonts w:eastAsia="Calibri" w:cs="" w:cstheme="minorBidi" w:eastAsiaTheme="minorHAnsi" w:ascii="Arial" w:hAnsi="Arial"/>
                          <w:b w:val="false"/>
                          <w:bCs w:val="false"/>
                          <w:color w:val="auto"/>
                          <w:sz w:val="20"/>
                          <w:szCs w:val="20"/>
                        </w:rPr>
                        <w:t xml:space="preserve"> correspondent au "stock" </w:t>
                      </w:r>
                      <w:r>
                        <w:rPr>
                          <w:rFonts w:eastAsia="Calibri" w:cs="" w:cstheme="minorBidi" w:eastAsiaTheme="minorHAnsi" w:ascii="Arial" w:hAnsi="Arial"/>
                          <w:b w:val="false"/>
                          <w:bCs w:val="false"/>
                          <w:color w:val="auto"/>
                          <w:sz w:val="20"/>
                          <w:szCs w:val="20"/>
                        </w:rPr>
                        <w:t>(</w:t>
                      </w:r>
                      <w:r>
                        <w:rPr>
                          <w:rFonts w:eastAsia="Calibri" w:cs="" w:cstheme="minorBidi" w:eastAsiaTheme="minorHAnsi" w:ascii="Arial" w:hAnsi="Arial"/>
                          <w:b w:val="false"/>
                          <w:bCs w:val="false"/>
                          <w:color w:val="auto"/>
                          <w:sz w:val="20"/>
                          <w:szCs w:val="20"/>
                        </w:rPr>
                        <w:t>jeunes en mission au 1er janvier 2021 ayant démarré en 2020 + le cumul des entrées en 2021, tous agréments confondus</w:t>
                      </w:r>
                      <w:r>
                        <w:rPr>
                          <w:rFonts w:eastAsia="Calibri" w:cs="" w:cstheme="minorBidi" w:eastAsiaTheme="minorHAnsi" w:ascii="Arial" w:hAnsi="Arial"/>
                          <w:b w:val="false"/>
                          <w:bCs w:val="false"/>
                          <w:color w:val="auto"/>
                          <w:sz w:val="20"/>
                          <w:szCs w:val="20"/>
                        </w:rPr>
                        <w:t>)</w:t>
                      </w:r>
                      <w:r>
                        <w:rPr>
                          <w:rFonts w:eastAsia="Calibri" w:cs="" w:cstheme="minorBidi" w:eastAsiaTheme="minorHAnsi" w:ascii="Arial" w:hAnsi="Arial"/>
                          <w:b w:val="false"/>
                          <w:bCs w:val="false"/>
                          <w:color w:val="auto"/>
                          <w:sz w:val="20"/>
                          <w:szCs w:val="20"/>
                        </w:rPr>
                        <w:t xml:space="preserve">.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ascii="Arial" w:hAnsi="Arial"/>
                          <w:b w:val="false"/>
                          <w:bCs w:val="false"/>
                          <w:color w:val="auto"/>
                          <w:sz w:val="20"/>
                          <w:szCs w:val="20"/>
                        </w:rPr>
                        <w:t xml:space="preserve">Pour atteindre cet objectif, </w:t>
                      </w:r>
                      <w:r>
                        <w:rPr>
                          <w:rFonts w:eastAsia="Calibri" w:cs="" w:cstheme="minorBidi" w:eastAsiaTheme="minorHAnsi" w:ascii="Arial" w:hAnsi="Arial"/>
                          <w:b w:val="false"/>
                          <w:bCs w:val="false"/>
                          <w:color w:val="auto"/>
                          <w:sz w:val="20"/>
                          <w:szCs w:val="20"/>
                        </w:rPr>
                        <w:t>un</w:t>
                      </w:r>
                      <w:r>
                        <w:rPr>
                          <w:rFonts w:eastAsia="Calibri" w:cs="" w:cstheme="minorBidi" w:eastAsiaTheme="minorHAnsi" w:ascii="Arial" w:hAnsi="Arial"/>
                          <w:b w:val="false"/>
                          <w:bCs w:val="false"/>
                          <w:color w:val="auto"/>
                          <w:sz w:val="20"/>
                          <w:szCs w:val="20"/>
                        </w:rPr>
                        <w:t xml:space="preserve"> plan d'actions départemental articul</w:t>
                      </w:r>
                      <w:r>
                        <w:rPr>
                          <w:rFonts w:eastAsia="Calibri" w:cs="" w:cstheme="minorBidi" w:eastAsiaTheme="minorHAnsi" w:ascii="Arial" w:hAnsi="Arial"/>
                          <w:b w:val="false"/>
                          <w:bCs w:val="false"/>
                          <w:color w:val="auto"/>
                          <w:sz w:val="20"/>
                          <w:szCs w:val="20"/>
                        </w:rPr>
                        <w:t>é</w:t>
                      </w:r>
                      <w:r>
                        <w:rPr>
                          <w:rFonts w:eastAsia="Calibri" w:cs="" w:cstheme="minorBidi" w:eastAsiaTheme="minorHAnsi" w:ascii="Arial" w:hAnsi="Arial"/>
                          <w:b w:val="false"/>
                          <w:bCs w:val="false"/>
                          <w:color w:val="auto"/>
                          <w:sz w:val="20"/>
                          <w:szCs w:val="20"/>
                        </w:rPr>
                        <w:t xml:space="preserve"> autour de 5 axes </w:t>
                      </w:r>
                      <w:r>
                        <w:rPr>
                          <w:rFonts w:eastAsia="Calibri" w:cs="" w:cstheme="minorBidi" w:eastAsiaTheme="minorHAnsi" w:ascii="Arial" w:hAnsi="Arial"/>
                          <w:b w:val="false"/>
                          <w:bCs w:val="false"/>
                          <w:color w:val="auto"/>
                          <w:sz w:val="20"/>
                          <w:szCs w:val="20"/>
                        </w:rPr>
                        <w:t>a été adopté.</w:t>
                      </w:r>
                    </w:p>
                    <w:p>
                      <w:pPr>
                        <w:pStyle w:val="Contenudecadre"/>
                        <w:overflowPunct w:val="true"/>
                        <w:spacing w:lineRule="auto" w:line="240" w:before="0" w:after="0"/>
                        <w:jc w:val="both"/>
                        <w:rPr>
                          <w:rFonts w:ascii="Arial" w:hAnsi="Arial" w:eastAsia="Calibri" w:cs="" w:cstheme="minorBidi" w:eastAsiaTheme="minorHAnsi"/>
                          <w:b w:val="false"/>
                          <w:b w:val="false"/>
                          <w:bCs w:val="false"/>
                          <w:color w:val="auto"/>
                        </w:rPr>
                      </w:pPr>
                      <w:r>
                        <w:rPr>
                          <w:rFonts w:eastAsia="Calibri" w:cs="" w:cstheme="minorBidi" w:eastAsiaTheme="minorHAnsi" w:ascii="Arial" w:hAnsi="Arial"/>
                          <w:b w:val="false"/>
                          <w:bCs w:val="false"/>
                          <w:color w:val="auto"/>
                          <w:sz w:val="20"/>
                          <w:szCs w:val="20"/>
                        </w:rPr>
                        <w:t xml:space="preserve">Dès le dernier trimestre 2020, dans le cadre du plan 1 jeune/1 solution, les collectivités territoriales ont été destinataires d'un courrier accompagné de missions type à proposer. </w:t>
                      </w:r>
                      <w:r>
                        <w:rPr>
                          <w:rFonts w:eastAsia="Calibri" w:cs="" w:cstheme="minorBidi" w:eastAsiaTheme="minorHAnsi" w:ascii="Arial" w:hAnsi="Arial"/>
                          <w:b w:val="false"/>
                          <w:bCs w:val="false"/>
                          <w:color w:val="auto"/>
                          <w:sz w:val="20"/>
                          <w:szCs w:val="20"/>
                        </w:rPr>
                        <w:t>Actuellement</w:t>
                      </w:r>
                      <w:r>
                        <w:rPr>
                          <w:rFonts w:eastAsia="Calibri" w:cs="" w:cstheme="minorBidi" w:eastAsiaTheme="minorHAnsi" w:ascii="Arial" w:hAnsi="Arial"/>
                          <w:b w:val="false"/>
                          <w:bCs w:val="false"/>
                          <w:color w:val="auto"/>
                          <w:sz w:val="20"/>
                          <w:szCs w:val="20"/>
                        </w:rPr>
                        <w:t>, les collectivités représentent 15% des organismes agréés contre 6% l'année dernière.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198" y="0"/>
              <wp:lineTo x="-198" y="21163"/>
              <wp:lineTo x="21005" y="21163"/>
              <wp:lineTo x="21005" y="0"/>
              <wp:lineTo x="-198"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396" y="0"/>
              <wp:lineTo x="-396" y="20593"/>
              <wp:lineTo x="20950" y="20593"/>
              <wp:lineTo x="20950" y="0"/>
              <wp:lineTo x="-396"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LibreOffice/6.1.5.1.M6$Windows_X86_64 LibreOffice_project/a81782b86f73d4cef391b7f9ec5741a907b48354</Application>
  <Pages>25</Pages>
  <Words>3487</Words>
  <Characters>19297</Characters>
  <CharactersWithSpaces>24003</CharactersWithSpaces>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2021-05-06T12:52:29Z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