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Saône-et-Loire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424733252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91609091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91609091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91609091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91609091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91609091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91609091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91609091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91609091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91609091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91609091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91609091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91609091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91609091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91609091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91609091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91609091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91609091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91609091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91609091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91609091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91609091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91609091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91609091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91609091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91609091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91609091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91609091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3 058 (23%)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62.2 M€ (24%)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2 277 (23%)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52.3 M€ (25%)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1 514 (24%)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44.0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91609091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91609091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91609091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91609091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91609091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91609091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91609091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91609091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91609091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91609091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91609091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91609091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91609091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91609091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3 012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2 873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91609091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91609091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91609091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91609091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91609091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2 518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91609091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91609091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Saône-et-Loire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2665</Words>
  <Characters>13218</Characters>
  <CharactersWithSpaces>16104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2021-07-12T18:33:11Z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