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1"/>
      </w:pPr>
      <w:r/>
      <w:r/>
    </w:p>
    <w:p>
      <w:pPr>
        <w:pStyle w:val="851"/>
      </w:pPr>
      <w:r/>
      <w:r/>
    </w:p>
    <w:p>
      <w:pPr>
        <w:pStyle w:val="851"/>
      </w:pPr>
      <w:r/>
      <w:r/>
    </w:p>
    <w:p>
      <w:pPr>
        <w:pStyle w:val="851"/>
      </w:pPr>
      <w:r/>
      <w:r/>
    </w:p>
    <w:p>
      <w:pPr>
        <w:pStyle w:val="851"/>
      </w:pPr>
      <w:r/>
      <w:r/>
    </w:p>
    <w:p>
      <w:pPr>
        <w:pStyle w:val="851"/>
      </w:pPr>
      <w:r/>
      <w:r/>
    </w:p>
    <w:p>
      <w:pPr>
        <w:pStyle w:val="851"/>
      </w:pPr>
      <w:r/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 xml:space="preserve">SUIVI TERRITORIAL</w:t>
      </w:r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DU PLAN RELANCE</w:t>
      </w:r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Saint-Pierre-et-Miquelon</w:t>
      </w:r>
      <w:r/>
    </w:p>
    <w:p>
      <w:pPr>
        <w:pStyle w:val="851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2021-04-28</w:t>
      </w:r>
      <w:r/>
    </w:p>
    <w:p>
      <w:pPr>
        <w:pStyle w:val="851"/>
        <w:jc w:val="left"/>
        <w:spacing w:lineRule="auto" w:line="259" w:after="160" w:before="0"/>
        <w:widowControl/>
      </w:pPr>
      <w:r>
        <w:br w:type="page"/>
      </w:r>
      <w:r/>
    </w:p>
    <w:p>
      <w:pPr>
        <w:pStyle w:val="851"/>
        <w:jc w:val="left"/>
        <w:spacing w:lineRule="auto" w:line="259" w:after="160" w:before="0"/>
        <w:widowControl/>
      </w:pPr>
      <w:r/>
      <w:r/>
    </w:p>
    <w:p>
      <w:pPr>
        <w:pStyle w:val="851"/>
        <w:jc w:val="left"/>
        <w:spacing w:lineRule="auto" w:line="259" w:after="160" w:before="0"/>
        <w:widowControl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/>
    </w:p>
    <w:p>
      <w:pPr>
        <w:pStyle w:val="851"/>
        <w:jc w:val="left"/>
        <w:spacing w:lineRule="auto" w:line="259" w:after="160" w:before="0"/>
        <w:widowControl/>
      </w:pPr>
      <w:r>
        <w:rPr>
          <w:b/>
          <w:bCs/>
          <w:sz w:val="50"/>
          <w:szCs w:val="50"/>
        </w:rPr>
        <w:t xml:space="preserve">Sommaire</w:t>
      </w:r>
      <w:r/>
    </w:p>
    <w:tbl>
      <w:tblPr>
        <w:tblW w:w="9072" w:type="dxa"/>
        <w:tblInd w:w="0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  <w:gridCol w:w="566"/>
      </w:tblGrid>
      <w:tr>
        <w:trPr/>
        <w:tc>
          <w:tcPr>
            <w:shd w:val="clear" w:color="auto" w:fill="auto"/>
            <w:tcW w:w="8505" w:type="dxa"/>
            <w:textDirection w:val="lrTb"/>
            <w:noWrap w:val="false"/>
          </w:tcPr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Assurance prospection -----------------------------------------------------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des jeunes -----------------------------------------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Initiatives Emploi (CIE) Jeunes -------------------------------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Garantie jeunes ---------------------------------------------------------------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Parcours emploi compétences (PEC) Jeunes -------------------------</w:t>
            </w:r>
            <w:r/>
          </w:p>
          <w:p>
            <w:pPr>
              <w:pStyle w:val="851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Service civique ----------------------------------------------------------------</w:t>
            </w:r>
            <w:r/>
          </w:p>
        </w:tc>
        <w:tc>
          <w:tcPr>
            <w:shd w:val="clear" w:color="auto" w:fill="auto"/>
            <w:tcW w:w="566" w:type="dxa"/>
            <w:textDirection w:val="lrTb"/>
            <w:noWrap w:val="false"/>
          </w:tcPr>
          <w:p>
            <w:pPr>
              <w:pStyle w:val="871"/>
              <w:spacing w:lineRule="atLeast" w:line="320"/>
            </w:pPr>
            <w:r>
              <w:t xml:space="preserve">2</w:t>
            </w:r>
            <w:r/>
          </w:p>
          <w:p>
            <w:pPr>
              <w:pStyle w:val="871"/>
              <w:spacing w:lineRule="atLeast" w:line="320"/>
            </w:pPr>
            <w:r>
              <w:t xml:space="preserve">3</w:t>
            </w:r>
            <w:r/>
          </w:p>
          <w:p>
            <w:pPr>
              <w:pStyle w:val="871"/>
              <w:spacing w:lineRule="atLeast" w:line="320"/>
            </w:pPr>
            <w:r>
              <w:t xml:space="preserve">4</w:t>
            </w:r>
            <w:r/>
          </w:p>
          <w:p>
            <w:pPr>
              <w:pStyle w:val="871"/>
              <w:spacing w:lineRule="atLeast" w:line="320"/>
            </w:pPr>
            <w:r>
              <w:t xml:space="preserve">5</w:t>
            </w:r>
            <w:r/>
          </w:p>
          <w:p>
            <w:pPr>
              <w:pStyle w:val="871"/>
              <w:spacing w:lineRule="atLeast" w:line="320"/>
            </w:pPr>
            <w:r>
              <w:t xml:space="preserve">6</w:t>
            </w:r>
            <w:r/>
          </w:p>
          <w:p>
            <w:pPr>
              <w:pStyle w:val="871"/>
              <w:spacing w:lineRule="atLeast" w:line="320"/>
            </w:pPr>
            <w:r>
              <w:t xml:space="preserve">7</w:t>
            </w:r>
            <w:r/>
          </w:p>
          <w:p>
            <w:pPr>
              <w:pStyle w:val="871"/>
              <w:spacing w:lineRule="atLeast" w:line="320"/>
            </w:pPr>
            <w:r>
              <w:t xml:space="preserve">8</w:t>
            </w:r>
            <w:r/>
          </w:p>
          <w:p>
            <w:pPr>
              <w:pStyle w:val="871"/>
              <w:spacing w:lineRule="atLeast" w:line="320"/>
            </w:pPr>
            <w:r>
              <w:t xml:space="preserve">9</w:t>
            </w:r>
            <w:r/>
          </w:p>
          <w:p>
            <w:pPr>
              <w:pStyle w:val="871"/>
              <w:spacing w:lineRule="atLeast" w:line="320"/>
            </w:pPr>
            <w:r>
              <w:t xml:space="preserve">10</w:t>
            </w:r>
            <w:r/>
          </w:p>
          <w:p>
            <w:pPr>
              <w:pStyle w:val="871"/>
              <w:spacing w:lineRule="atLeast" w:line="320"/>
            </w:pPr>
            <w:r>
              <w:t xml:space="preserve">11</w:t>
            </w:r>
            <w:r/>
          </w:p>
          <w:p>
            <w:pPr>
              <w:pStyle w:val="871"/>
              <w:spacing w:lineRule="atLeast" w:line="320"/>
            </w:pPr>
            <w:r>
              <w:t xml:space="preserve">12</w:t>
            </w:r>
            <w:r/>
          </w:p>
          <w:p>
            <w:pPr>
              <w:pStyle w:val="871"/>
              <w:spacing w:lineRule="atLeast" w:line="320"/>
            </w:pPr>
            <w:r>
              <w:t xml:space="preserve">13</w:t>
            </w:r>
            <w:r/>
          </w:p>
          <w:p>
            <w:pPr>
              <w:pStyle w:val="871"/>
              <w:spacing w:lineRule="atLeast" w:line="320"/>
            </w:pPr>
            <w:r>
              <w:t xml:space="preserve">14</w:t>
            </w:r>
            <w:r/>
          </w:p>
          <w:p>
            <w:pPr>
              <w:pStyle w:val="871"/>
              <w:spacing w:lineRule="atLeast" w:line="320"/>
            </w:pPr>
            <w:r>
              <w:t xml:space="preserve">15</w:t>
            </w:r>
            <w:r/>
          </w:p>
          <w:p>
            <w:pPr>
              <w:pStyle w:val="871"/>
              <w:spacing w:lineRule="atLeast" w:line="320"/>
            </w:pPr>
            <w:r>
              <w:t xml:space="preserve">16</w:t>
            </w:r>
            <w:r/>
          </w:p>
          <w:p>
            <w:pPr>
              <w:pStyle w:val="871"/>
              <w:spacing w:lineRule="atLeast" w:line="320"/>
            </w:pPr>
            <w:r>
              <w:t xml:space="preserve">17</w:t>
            </w:r>
            <w:r/>
          </w:p>
          <w:p>
            <w:pPr>
              <w:pStyle w:val="871"/>
              <w:spacing w:lineRule="atLeast" w:line="320"/>
            </w:pPr>
            <w:r>
              <w:t xml:space="preserve">18</w:t>
            </w:r>
            <w:r/>
          </w:p>
          <w:p>
            <w:pPr>
              <w:pStyle w:val="871"/>
              <w:spacing w:lineRule="atLeast" w:line="320"/>
            </w:pPr>
            <w:r>
              <w:t xml:space="preserve">19</w:t>
            </w:r>
            <w:r/>
          </w:p>
          <w:p>
            <w:pPr>
              <w:pStyle w:val="871"/>
              <w:spacing w:lineRule="atLeast" w:line="320"/>
            </w:pPr>
            <w:r>
              <w:t xml:space="preserve">20</w:t>
            </w:r>
            <w:r/>
          </w:p>
          <w:p>
            <w:pPr>
              <w:pStyle w:val="871"/>
              <w:spacing w:lineRule="atLeast" w:line="320"/>
            </w:pPr>
            <w:r>
              <w:t xml:space="preserve">21</w:t>
            </w:r>
            <w:r/>
          </w:p>
          <w:p>
            <w:pPr>
              <w:pStyle w:val="871"/>
              <w:spacing w:lineRule="atLeast" w:line="320"/>
            </w:pPr>
            <w:r>
              <w:t xml:space="preserve">22</w:t>
            </w:r>
            <w:r/>
          </w:p>
          <w:p>
            <w:pPr>
              <w:pStyle w:val="871"/>
              <w:spacing w:lineRule="atLeast" w:line="320"/>
            </w:pPr>
            <w:r>
              <w:t xml:space="preserve">23</w:t>
            </w:r>
            <w:r/>
          </w:p>
          <w:p>
            <w:pPr>
              <w:pStyle w:val="871"/>
              <w:spacing w:lineRule="atLeast" w:line="320" w:after="160" w:before="0"/>
            </w:pPr>
            <w:r>
              <w:t xml:space="preserve">24</w:t>
            </w:r>
            <w:r/>
          </w:p>
        </w:tc>
      </w:tr>
    </w:tbl>
    <w:p>
      <w:pPr>
        <w:pStyle w:val="851"/>
        <w:jc w:val="both"/>
        <w:spacing w:lineRule="auto" w:line="259" w:after="160" w:before="0"/>
        <w:widowControl/>
      </w:pPr>
      <w:r/>
      <w:r/>
    </w:p>
    <w:p>
      <w:r>
        <w:br w:type="page"/>
      </w:r>
      <w:r/>
    </w:p>
    <w:p>
      <w:pPr>
        <w:pStyle w:val="851"/>
      </w:pPr>
      <w:r/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>
                              <w:t xml:space="preserve">Concernant le volet écologie : </w:t>
                            </w:r>
                            <w:r/>
                          </w:p>
                          <w:p>
                            <w:pPr>
                              <w:pStyle w:val="875"/>
                              <w:numPr>
                                <w:ilvl w:val="0"/>
                                <w:numId w:val="2"/>
                              </w:numPr>
                              <w:spacing w:lineRule="auto" w:line="240" w:after="0" w:before="0"/>
                            </w:pPr>
                            <w:r>
                              <w:t xml:space="preserve">une enveloppe territorialisée de 2.8 millions a été attribuée aux collectivités pour la rénovation thermique de leurs bâtiments. Les conventions sont signées et la planification opérationnelle des projets en cours.</w:t>
                            </w:r>
                            <w:r/>
                          </w:p>
                          <w:p>
                            <w:pPr>
                              <w:pStyle w:val="875"/>
                              <w:numPr>
                                <w:ilvl w:val="0"/>
                                <w:numId w:val="2"/>
                              </w:numPr>
                              <w:spacing w:lineRule="auto" w:line="240" w:after="0" w:before="0"/>
                            </w:pPr>
                            <w:r>
                              <w:rPr>
                                <w:highlight w:val="none"/>
                              </w:rPr>
                              <w:t xml:space="preserve">la Mairie de Miquelon va lancer une consultation pour une AMO sur le projet abattoir qui l’appuiera dans son projet de réponse à l’AAP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75"/>
                              <w:numPr>
                                <w:ilvl w:val="0"/>
                                <w:numId w:val="2"/>
                              </w:numPr>
                              <w:spacing w:lineRule="auto" w:line="240" w:after="0" w:before="0"/>
                            </w:pPr>
                            <w:r>
                              <w:rPr>
                                <w:highlight w:val="none"/>
                              </w:rPr>
                              <w:t xml:space="preserve">La Mairie de Miquelon a déposé un projet de 180k€ dans le cadre de l’AAP ma Biodiv restauration des écosystèmes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>
                        <w:t xml:space="preserve">Concernant le volet écologie : </w:t>
                      </w:r>
                      <w:r/>
                    </w:p>
                    <w:p>
                      <w:pPr>
                        <w:pStyle w:val="875"/>
                        <w:numPr>
                          <w:ilvl w:val="0"/>
                          <w:numId w:val="2"/>
                        </w:numPr>
                        <w:spacing w:lineRule="auto" w:line="240" w:after="0" w:before="0"/>
                      </w:pPr>
                      <w:r>
                        <w:t xml:space="preserve">une enveloppe territorialisée de 2.8 millions a été attribuée aux collectivités pour la rénovation thermique de leurs bâtiments. Les conventions sont signées et la planification opérationnelle des projets en cours.</w:t>
                      </w:r>
                      <w:r/>
                    </w:p>
                    <w:p>
                      <w:pPr>
                        <w:pStyle w:val="875"/>
                        <w:numPr>
                          <w:ilvl w:val="0"/>
                          <w:numId w:val="2"/>
                        </w:numPr>
                        <w:spacing w:lineRule="auto" w:line="240" w:after="0" w:before="0"/>
                      </w:pPr>
                      <w:r>
                        <w:rPr>
                          <w:highlight w:val="none"/>
                        </w:rPr>
                        <w:t xml:space="preserve">la Mairie de Miquelon va lancer une consultation pour une AMO sur le projet abattoir qui l’appuiera dans son projet de réponse à l’AAP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875"/>
                        <w:numPr>
                          <w:ilvl w:val="0"/>
                          <w:numId w:val="2"/>
                        </w:numPr>
                        <w:spacing w:lineRule="auto" w:line="240" w:after="0" w:before="0"/>
                      </w:pPr>
                      <w:r>
                        <w:rPr>
                          <w:highlight w:val="none"/>
                        </w:rPr>
                        <w:t xml:space="preserve">La Mairie de Miquelon a déposé un projet de 180k€ dans le cadre de l’AAP ma Biodiv restauration des écosystèmes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Ecologie</w: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Rénov'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Septembre 2022, Montant total des primes versées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Bonus électrique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bonus octroyés à des véhicules électriques : 8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42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32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Efficacité énergétique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ayant reçu l'aide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after="24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t xml:space="preserve">Pas de lauréats à ce jours mais 3 entreprises sont intéressées et ont déposé un dossier </w:t>
                            </w:r>
                            <w:r>
                              <w:t xml:space="preserve">pour la mesure tremplin</w:t>
                            </w:r>
                            <w:r>
                              <w:t xml:space="preserve"> :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after="24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t xml:space="preserve">- le Roc Café et Chez Simon pour du remplacement de meubles froid négatif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after="240" w:before="240"/>
                              <w:rPr>
                                <w:highlight w:val="none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t xml:space="preserve">- Domane pour des meubles froid également + éclairage + audit énergie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after="240" w:before="240"/>
                              <w:rPr>
                                <w:rFonts w:ascii="Times New Roman" w:hAnsi="Times New Roman" w:cs="Times New Roman" w:eastAsia="Times New Roman"/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highlight w:val="none"/>
                              </w:rPr>
                              <w:t xml:space="preserve">Le référant local ADEME poursuit son accompagnement auprès des entreprises.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after="24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t xml:space="preserve">Pas de lauréats à ce jours mais 3 entreprises sont intéressées et ont déposé un dossier </w:t>
                      </w:r>
                      <w:r>
                        <w:t xml:space="preserve">pour la mesure tremplin</w:t>
                      </w:r>
                      <w:r>
                        <w:t xml:space="preserve"> :</w:t>
                      </w:r>
                      <w:r/>
                    </w:p>
                    <w:p>
                      <w:pPr>
                        <w:ind w:left="0" w:right="0" w:firstLine="0"/>
                        <w:spacing w:after="24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t xml:space="preserve">- le Roc Café et Chez Simon pour du remplacement de meubles froid négatif</w:t>
                      </w:r>
                      <w:r/>
                    </w:p>
                    <w:p>
                      <w:pPr>
                        <w:ind w:left="0" w:right="0" w:firstLine="0"/>
                        <w:spacing w:after="240" w:before="240"/>
                        <w:rPr>
                          <w:highlight w:val="none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t xml:space="preserve">- Domane pour des meubles froid également + éclairage + audit énergie</w:t>
                      </w:r>
                      <w:r/>
                    </w:p>
                    <w:p>
                      <w:pPr>
                        <w:ind w:left="0" w:right="0" w:firstLine="0"/>
                        <w:spacing w:after="240" w:before="240"/>
                        <w:rPr>
                          <w:rFonts w:ascii="Times New Roman" w:hAnsi="Times New Roman" w:cs="Times New Roman" w:eastAsia="Times New Roman"/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highlight w:val="none"/>
                        </w:rPr>
                        <w:t xml:space="preserve">Le référant local ADEME poursuit son accompagnement auprès des entreprises.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aéro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PME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la conversion des véhicules légers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primes à la conversion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Soutien recherche aéronautique civil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projets soutenus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Rénovation des bâtiments Etats (marchés notifiés)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bâtiments dont le marché de rénovation est notifié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 w:val="false"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>
                              <w:rPr>
                                <w:rFonts w:ascii="Calibri" w:hAnsi="Calibri" w:cs="Calibri" w:eastAsia="Calibri"/>
                                <w:b w:val="false"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2 projets pour SPM : </w:t>
                            </w:r>
                            <w:r/>
                          </w:p>
                          <w:p>
                            <w:pPr>
                              <w:pStyle w:val="875"/>
                              <w:numPr>
                                <w:ilvl w:val="0"/>
                                <w:numId w:val="1"/>
                              </w:numPr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 w:val="false"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 w:val="false"/>
                                <w:bCs/>
                                <w:color w:val="auto"/>
                                <w:highlight w:val="none"/>
                              </w:rPr>
                              <w:t xml:space="preserve">relamping du bâtiment de la DFIP : consultation lancée, les travaux seront réalisés en septembre</w:t>
                            </w:r>
                            <w:r>
                              <w:rPr>
                                <w:rFonts w:ascii="Calibri" w:hAnsi="Calibri" w:cs="Calibri" w:eastAsia="Calibri"/>
                                <w:b w:val="false"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numPr>
                                <w:ilvl w:val="0"/>
                                <w:numId w:val="1"/>
                              </w:numPr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 w:val="false"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 w:val="false"/>
                                <w:bCs/>
                                <w:color w:val="auto"/>
                                <w:highlight w:val="none"/>
                              </w:rPr>
                              <w:t xml:space="preserve">rénovation toiture de l’aerogare : le marché est prévu fin 2021 début 2022 et les travaux en 2022</w:t>
                            </w:r>
                            <w:r>
                              <w:rPr>
                                <w:rFonts w:cs="Calibri" w:eastAsia="Calibri"/>
                                <w:b w:val="false"/>
                                <w:bCs/>
                                <w:color w:val="auto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 w:val="false"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>
                        <w:rPr>
                          <w:rFonts w:ascii="Calibri" w:hAnsi="Calibri" w:cs="Calibri" w:eastAsia="Calibri"/>
                          <w:b w:val="false"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2 projets pour SPM : </w:t>
                      </w:r>
                      <w:r/>
                    </w:p>
                    <w:p>
                      <w:pPr>
                        <w:pStyle w:val="875"/>
                        <w:numPr>
                          <w:ilvl w:val="0"/>
                          <w:numId w:val="1"/>
                        </w:numPr>
                        <w:spacing w:lineRule="auto" w:line="240" w:after="0" w:before="0"/>
                        <w:rPr>
                          <w:rFonts w:ascii="Calibri" w:hAnsi="Calibri" w:cs="Calibri" w:eastAsia="Calibri"/>
                          <w:b w:val="false"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 w:val="false"/>
                          <w:bCs/>
                          <w:color w:val="auto"/>
                          <w:highlight w:val="none"/>
                        </w:rPr>
                        <w:t xml:space="preserve">relamping du bâtiment de la DFIP : consultation lancée, les travaux seront réalisés en septembre</w:t>
                      </w:r>
                      <w:r>
                        <w:rPr>
                          <w:rFonts w:ascii="Calibri" w:hAnsi="Calibri" w:cs="Calibri" w:eastAsia="Calibri"/>
                          <w:b w:val="false"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numPr>
                          <w:ilvl w:val="0"/>
                          <w:numId w:val="1"/>
                        </w:numPr>
                        <w:spacing w:lineRule="auto" w:line="240" w:after="0" w:before="0"/>
                        <w:rPr>
                          <w:rFonts w:ascii="Calibri" w:hAnsi="Calibri" w:cs="Calibri" w:eastAsia="Calibri"/>
                          <w:b w:val="false"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 w:val="false"/>
                          <w:bCs/>
                          <w:color w:val="auto"/>
                          <w:highlight w:val="none"/>
                        </w:rPr>
                        <w:t xml:space="preserve">rénovation toiture de l’aerogare : le marché est prévu fin 2021 début 2022 et les travaux en 2022</w:t>
                      </w:r>
                      <w:r>
                        <w:rPr>
                          <w:rFonts w:cs="Calibri" w:eastAsia="Calibri"/>
                          <w:b w:val="false"/>
                          <w:bCs/>
                          <w:color w:val="auto"/>
                          <w:highlight w:val="none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</w:pPr>
      <w:r/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numPr>
                                <w:ilvl w:val="0"/>
                                <w:numId w:val="3"/>
                              </w:numPr>
                              <w:spacing w:lineRule="auto" w:line="240" w:after="0" w:before="0"/>
                            </w:pPr>
                            <w:r>
                              <w:t xml:space="preserve">Le projet de plateforme de recherche est lauréat de la phase AMI du PIA OM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numPr>
                          <w:ilvl w:val="0"/>
                          <w:numId w:val="3"/>
                        </w:numPr>
                        <w:spacing w:lineRule="auto" w:line="240" w:after="0" w:before="0"/>
                      </w:pPr>
                      <w:r>
                        <w:t xml:space="preserve">Le projet de plateforme de recherche est lauréat de la phase AMI du PIA OM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Compétitivité</w: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Assurance prospection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Num : aide à la numérisation des TPE,PME,ETI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d'accompagnements dispensés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Soutien aux projets industriels territoires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Sécurisation approvisionnements critiques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Renforcement subventions Business France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bénéficiaires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</w:pPr>
      <w:r/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51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16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Cohésion</w: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Apprentissage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des jeunes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jeunes : 12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274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247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103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Le nombre d’aides est cohérent avec le nombre de jeunes éligibles sur le territoire. 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Le nombre d’aides est cohérent avec le nombre de jeunes éligibles sur le territoire. 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pour les travailleurs handicapés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travailleurs handicapés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Initiatives Emploi (CIE) Jeunes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CIE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de professionnalisation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de professionnalisation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Garantie jeunes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en garanties jeunes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Parcours emploi compétences (PEC) Jeunes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PEC : 0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51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Service civique</w:t>
      </w:r>
      <w:r/>
    </w:p>
    <w:p>
      <w:pPr>
        <w:pStyle w:val="851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5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d'entrées en service civique : 2</w:t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665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582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</w:pPr>
            <w:r>
              <w:rPr>
                <w:rStyle w:val="876"/>
                <w:rFonts w:ascii="Arial" w:hAnsi="Arial" w:cs="Arial"/>
                <w:sz w:val="20"/>
                <w:szCs w:val="20"/>
              </w:rPr>
              <w:t xml:space="preserve">575  </w:t>
            </w:r>
            <w:r/>
          </w:p>
        </w:tc>
      </w:tr>
    </w:tbl>
    <w:p>
      <w:pPr>
        <w:pStyle w:val="851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4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7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51"/>
              <w:jc w:val="center"/>
              <w:spacing w:lineRule="auto" w:line="240" w:after="0" w:before="0"/>
            </w:pPr>
            <w:r/>
            <w:r/>
          </w:p>
          <w:p>
            <w:pPr>
              <w:pStyle w:val="851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51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5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5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5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5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</w:pPr>
    <w:r>
      <w:tab/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1"/>
    <w:next w:val="851"/>
    <w:link w:val="6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9">
    <w:name w:val="Heading 1 Char"/>
    <w:basedOn w:val="852"/>
    <w:link w:val="678"/>
    <w:uiPriority w:val="9"/>
    <w:rPr>
      <w:rFonts w:ascii="Arial" w:hAnsi="Arial" w:cs="Arial" w:eastAsia="Arial"/>
      <w:sz w:val="40"/>
      <w:szCs w:val="40"/>
    </w:rPr>
  </w:style>
  <w:style w:type="paragraph" w:styleId="680">
    <w:name w:val="Heading 2"/>
    <w:basedOn w:val="851"/>
    <w:next w:val="851"/>
    <w:link w:val="6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81">
    <w:name w:val="Heading 2 Char"/>
    <w:basedOn w:val="852"/>
    <w:link w:val="680"/>
    <w:uiPriority w:val="9"/>
    <w:rPr>
      <w:rFonts w:ascii="Arial" w:hAnsi="Arial" w:cs="Arial" w:eastAsia="Arial"/>
      <w:sz w:val="34"/>
    </w:rPr>
  </w:style>
  <w:style w:type="paragraph" w:styleId="682">
    <w:name w:val="Heading 3"/>
    <w:basedOn w:val="851"/>
    <w:next w:val="851"/>
    <w:link w:val="6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3">
    <w:name w:val="Heading 3 Char"/>
    <w:basedOn w:val="852"/>
    <w:link w:val="682"/>
    <w:uiPriority w:val="9"/>
    <w:rPr>
      <w:rFonts w:ascii="Arial" w:hAnsi="Arial" w:cs="Arial" w:eastAsia="Arial"/>
      <w:sz w:val="30"/>
      <w:szCs w:val="30"/>
    </w:rPr>
  </w:style>
  <w:style w:type="paragraph" w:styleId="684">
    <w:name w:val="Heading 4"/>
    <w:basedOn w:val="851"/>
    <w:next w:val="851"/>
    <w:link w:val="6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5">
    <w:name w:val="Heading 4 Char"/>
    <w:basedOn w:val="852"/>
    <w:link w:val="684"/>
    <w:uiPriority w:val="9"/>
    <w:rPr>
      <w:rFonts w:ascii="Arial" w:hAnsi="Arial" w:cs="Arial" w:eastAsia="Arial"/>
      <w:b/>
      <w:bCs/>
      <w:sz w:val="26"/>
      <w:szCs w:val="26"/>
    </w:rPr>
  </w:style>
  <w:style w:type="paragraph" w:styleId="686">
    <w:name w:val="Heading 5"/>
    <w:basedOn w:val="851"/>
    <w:next w:val="851"/>
    <w:link w:val="6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7">
    <w:name w:val="Heading 5 Char"/>
    <w:basedOn w:val="852"/>
    <w:link w:val="686"/>
    <w:uiPriority w:val="9"/>
    <w:rPr>
      <w:rFonts w:ascii="Arial" w:hAnsi="Arial" w:cs="Arial" w:eastAsia="Arial"/>
      <w:b/>
      <w:bCs/>
      <w:sz w:val="24"/>
      <w:szCs w:val="24"/>
    </w:rPr>
  </w:style>
  <w:style w:type="paragraph" w:styleId="688">
    <w:name w:val="Heading 6"/>
    <w:basedOn w:val="851"/>
    <w:next w:val="851"/>
    <w:link w:val="6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9">
    <w:name w:val="Heading 6 Char"/>
    <w:basedOn w:val="852"/>
    <w:link w:val="688"/>
    <w:uiPriority w:val="9"/>
    <w:rPr>
      <w:rFonts w:ascii="Arial" w:hAnsi="Arial" w:cs="Arial" w:eastAsia="Arial"/>
      <w:b/>
      <w:bCs/>
      <w:sz w:val="22"/>
      <w:szCs w:val="22"/>
    </w:rPr>
  </w:style>
  <w:style w:type="paragraph" w:styleId="690">
    <w:name w:val="Heading 7"/>
    <w:basedOn w:val="851"/>
    <w:next w:val="851"/>
    <w:link w:val="6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91">
    <w:name w:val="Heading 7 Char"/>
    <w:basedOn w:val="852"/>
    <w:link w:val="6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2">
    <w:name w:val="Heading 8"/>
    <w:basedOn w:val="851"/>
    <w:next w:val="851"/>
    <w:link w:val="6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3">
    <w:name w:val="Heading 8 Char"/>
    <w:basedOn w:val="852"/>
    <w:link w:val="692"/>
    <w:uiPriority w:val="9"/>
    <w:rPr>
      <w:rFonts w:ascii="Arial" w:hAnsi="Arial" w:cs="Arial" w:eastAsia="Arial"/>
      <w:i/>
      <w:iCs/>
      <w:sz w:val="22"/>
      <w:szCs w:val="22"/>
    </w:rPr>
  </w:style>
  <w:style w:type="paragraph" w:styleId="694">
    <w:name w:val="Heading 9"/>
    <w:basedOn w:val="851"/>
    <w:next w:val="851"/>
    <w:link w:val="6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5">
    <w:name w:val="Heading 9 Char"/>
    <w:basedOn w:val="852"/>
    <w:link w:val="694"/>
    <w:uiPriority w:val="9"/>
    <w:rPr>
      <w:rFonts w:ascii="Arial" w:hAnsi="Arial" w:cs="Arial" w:eastAsia="Arial"/>
      <w:i/>
      <w:iCs/>
      <w:sz w:val="21"/>
      <w:szCs w:val="21"/>
    </w:rPr>
  </w:style>
  <w:style w:type="paragraph" w:styleId="696">
    <w:name w:val="List Paragraph"/>
    <w:basedOn w:val="851"/>
    <w:qFormat/>
    <w:uiPriority w:val="34"/>
    <w:pPr>
      <w:contextualSpacing w:val="true"/>
      <w:ind w:left="720"/>
    </w:pPr>
  </w:style>
  <w:style w:type="paragraph" w:styleId="697">
    <w:name w:val="No Spacing"/>
    <w:qFormat/>
    <w:uiPriority w:val="1"/>
    <w:pPr>
      <w:spacing w:lineRule="auto" w:line="240" w:after="0" w:before="0"/>
    </w:pPr>
  </w:style>
  <w:style w:type="character" w:styleId="698">
    <w:name w:val="Title Char"/>
    <w:basedOn w:val="852"/>
    <w:link w:val="865"/>
    <w:uiPriority w:val="10"/>
    <w:rPr>
      <w:sz w:val="48"/>
      <w:szCs w:val="48"/>
    </w:rPr>
  </w:style>
  <w:style w:type="paragraph" w:styleId="699">
    <w:name w:val="Subtitle"/>
    <w:basedOn w:val="851"/>
    <w:next w:val="851"/>
    <w:link w:val="700"/>
    <w:qFormat/>
    <w:uiPriority w:val="11"/>
    <w:rPr>
      <w:sz w:val="24"/>
      <w:szCs w:val="24"/>
    </w:rPr>
    <w:pPr>
      <w:spacing w:after="200" w:before="200"/>
    </w:pPr>
  </w:style>
  <w:style w:type="character" w:styleId="700">
    <w:name w:val="Subtitle Char"/>
    <w:basedOn w:val="852"/>
    <w:link w:val="699"/>
    <w:uiPriority w:val="11"/>
    <w:rPr>
      <w:sz w:val="24"/>
      <w:szCs w:val="24"/>
    </w:rPr>
  </w:style>
  <w:style w:type="paragraph" w:styleId="701">
    <w:name w:val="Quote"/>
    <w:basedOn w:val="851"/>
    <w:next w:val="851"/>
    <w:link w:val="702"/>
    <w:qFormat/>
    <w:uiPriority w:val="29"/>
    <w:rPr>
      <w:i/>
    </w:rPr>
    <w:pPr>
      <w:ind w:left="720" w:right="720"/>
    </w:p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1"/>
    <w:next w:val="851"/>
    <w:link w:val="70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4">
    <w:name w:val="Intense Quote Char"/>
    <w:link w:val="703"/>
    <w:uiPriority w:val="30"/>
    <w:rPr>
      <w:i/>
    </w:rPr>
  </w:style>
  <w:style w:type="character" w:styleId="705">
    <w:name w:val="Header Char"/>
    <w:basedOn w:val="852"/>
    <w:link w:val="867"/>
    <w:uiPriority w:val="99"/>
  </w:style>
  <w:style w:type="character" w:styleId="706">
    <w:name w:val="Footer Char"/>
    <w:basedOn w:val="852"/>
    <w:link w:val="868"/>
    <w:uiPriority w:val="99"/>
  </w:style>
  <w:style w:type="character" w:styleId="707">
    <w:name w:val="Caption Char"/>
    <w:basedOn w:val="866"/>
    <w:link w:val="868"/>
    <w:uiPriority w:val="99"/>
  </w:style>
  <w:style w:type="table" w:styleId="708">
    <w:name w:val="Table Grid Light"/>
    <w:basedOn w:val="8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4">
    <w:name w:val="Grid Table 1 Light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4"/>
    <w:basedOn w:val="8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6">
    <w:name w:val="Grid Table 4 - Accent 1"/>
    <w:basedOn w:val="8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7">
    <w:name w:val="Grid Table 4 - Accent 2"/>
    <w:basedOn w:val="8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8">
    <w:name w:val="Grid Table 4 - Accent 3"/>
    <w:basedOn w:val="8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9">
    <w:name w:val="Grid Table 4 - Accent 4"/>
    <w:basedOn w:val="8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0">
    <w:name w:val="Grid Table 4 - Accent 5"/>
    <w:basedOn w:val="8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1">
    <w:name w:val="Grid Table 4 - Accent 6"/>
    <w:basedOn w:val="8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2">
    <w:name w:val="Grid Table 5 Dark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43">
    <w:name w:val="Grid Table 5 Dark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46">
    <w:name w:val="Grid Table 5 Dark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49">
    <w:name w:val="Grid Table 6 Colorful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1">
    <w:name w:val="List Table 2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2">
    <w:name w:val="List Table 2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3">
    <w:name w:val="List Table 2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4">
    <w:name w:val="List Table 2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5">
    <w:name w:val="List Table 2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6">
    <w:name w:val="List Table 2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7">
    <w:name w:val="List Table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9">
    <w:name w:val="List Table 6 Colorful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0">
    <w:name w:val="List Table 6 Colorful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1">
    <w:name w:val="List Table 6 Colorful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2">
    <w:name w:val="List Table 6 Colorful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3">
    <w:name w:val="List Table 6 Colorful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4">
    <w:name w:val="List Table 6 Colorful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5">
    <w:name w:val="List Table 7 Colorful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3">
    <w:name w:val="Lined - Accent 1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4">
    <w:name w:val="Lined - Accent 2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5">
    <w:name w:val="Lined - Accent 3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6">
    <w:name w:val="Lined - Accent 4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7">
    <w:name w:val="Lined - Accent 5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8">
    <w:name w:val="Lined - Accent 6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9">
    <w:name w:val="Bordered &amp; Lined - Accent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20">
    <w:name w:val="Bordered &amp; Lined - Accent 1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21">
    <w:name w:val="Bordered &amp; Lined - Accent 2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22">
    <w:name w:val="Bordered &amp; Lined - Accent 3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23">
    <w:name w:val="Bordered &amp; Lined - Accent 4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24">
    <w:name w:val="Bordered &amp; Lined - Accent 5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25">
    <w:name w:val="Bordered &amp; Lined - Accent 6"/>
    <w:basedOn w:val="8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26">
    <w:name w:val="Bordered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7">
    <w:name w:val="Bordered - Accent 1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8">
    <w:name w:val="Bordered - Accent 2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9">
    <w:name w:val="Bordered - Accent 3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0">
    <w:name w:val="Bordered - Accent 4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1">
    <w:name w:val="Bordered - Accent 5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2">
    <w:name w:val="Bordered - Accent 6"/>
    <w:basedOn w:val="8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rPr>
      <w:sz w:val="18"/>
    </w:rPr>
    <w:pPr>
      <w:spacing w:lineRule="auto" w:line="240" w:after="40"/>
    </w:p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852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rPr>
      <w:sz w:val="20"/>
    </w:rPr>
    <w:pPr>
      <w:spacing w:lineRule="auto" w:line="240" w:after="0"/>
    </w:p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2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character" w:styleId="852" w:default="1">
    <w:name w:val="Default Paragraph Font"/>
    <w:qFormat/>
    <w:uiPriority w:val="1"/>
    <w:semiHidden/>
    <w:unhideWhenUsed/>
  </w:style>
  <w:style w:type="character" w:styleId="853" w:customStyle="1">
    <w:name w:val="En-tête Car"/>
    <w:basedOn w:val="852"/>
    <w:qFormat/>
    <w:uiPriority w:val="99"/>
  </w:style>
  <w:style w:type="character" w:styleId="854" w:customStyle="1">
    <w:name w:val="Pied de page Car"/>
    <w:basedOn w:val="852"/>
    <w:link w:val="868"/>
    <w:qFormat/>
    <w:uiPriority w:val="99"/>
  </w:style>
  <w:style w:type="character" w:styleId="855" w:customStyle="1">
    <w:name w:val="Préformaté HTML Car"/>
    <w:basedOn w:val="852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856" w:customStyle="1">
    <w:name w:val="p"/>
    <w:basedOn w:val="852"/>
    <w:qFormat/>
  </w:style>
  <w:style w:type="character" w:styleId="857" w:customStyle="1">
    <w:name w:val="o"/>
    <w:basedOn w:val="852"/>
    <w:qFormat/>
  </w:style>
  <w:style w:type="character" w:styleId="858" w:customStyle="1">
    <w:name w:val="n"/>
    <w:basedOn w:val="852"/>
    <w:qFormat/>
  </w:style>
  <w:style w:type="character" w:styleId="859" w:customStyle="1">
    <w:name w:val="k"/>
    <w:basedOn w:val="852"/>
    <w:qFormat/>
  </w:style>
  <w:style w:type="paragraph" w:styleId="860">
    <w:name w:val="Titre"/>
    <w:basedOn w:val="851"/>
    <w:next w:val="861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61">
    <w:name w:val="Body Text"/>
    <w:basedOn w:val="851"/>
    <w:pPr>
      <w:spacing w:lineRule="auto" w:line="276" w:after="140" w:before="0"/>
    </w:pPr>
  </w:style>
  <w:style w:type="paragraph" w:styleId="862">
    <w:name w:val="List"/>
    <w:basedOn w:val="861"/>
    <w:rPr>
      <w:rFonts w:cs="Lohit Devanagari"/>
    </w:rPr>
  </w:style>
  <w:style w:type="paragraph" w:styleId="863">
    <w:name w:val="Caption"/>
    <w:basedOn w:val="85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4" w:customStyle="1">
    <w:name w:val="Index"/>
    <w:basedOn w:val="851"/>
    <w:qFormat/>
    <w:rPr>
      <w:rFonts w:cs="Lohit Devanagari"/>
    </w:rPr>
    <w:pPr>
      <w:suppressLineNumbers/>
    </w:pPr>
  </w:style>
  <w:style w:type="paragraph" w:styleId="865">
    <w:name w:val="Title"/>
    <w:basedOn w:val="851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66">
    <w:name w:val="Caption"/>
    <w:basedOn w:val="85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7">
    <w:name w:val="Header"/>
    <w:basedOn w:val="851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868">
    <w:name w:val="Footer"/>
    <w:basedOn w:val="851"/>
    <w:link w:val="854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869">
    <w:name w:val="HTML Preformatted"/>
    <w:basedOn w:val="851"/>
    <w:link w:val="855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70" w:customStyle="1">
    <w:name w:val="Obsah tabulky"/>
    <w:basedOn w:val="851"/>
    <w:qFormat/>
    <w:pPr>
      <w:suppressLineNumbers/>
    </w:pPr>
  </w:style>
  <w:style w:type="paragraph" w:styleId="871">
    <w:name w:val="Contenu de tableau"/>
    <w:basedOn w:val="851"/>
    <w:qFormat/>
    <w:pPr>
      <w:suppressLineNumbers/>
    </w:pPr>
  </w:style>
  <w:style w:type="numbering" w:styleId="872" w:default="1">
    <w:name w:val="No List"/>
    <w:qFormat/>
    <w:uiPriority w:val="99"/>
    <w:semiHidden/>
    <w:unhideWhenUsed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74">
    <w:name w:val="Table Grid"/>
    <w:basedOn w:val="873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75">
    <w:name w:val="Contenu de cadre"/>
    <w:basedOn w:val="851"/>
    <w:qFormat/>
  </w:style>
  <w:style w:type="character" w:styleId="876">
    <w:name w:val="Texte source"/>
    <w:qFormat/>
    <w:rPr>
      <w:rFonts w:ascii="Liberation Mono" w:hAnsi="Liberation Mono" w:cs="Liberation Mono" w:eastAsia="Liberation Mon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Philippe VIELLE</cp:lastModifiedBy>
  <cp:revision>17</cp:revision>
  <dcterms:created xsi:type="dcterms:W3CDTF">2021-04-02T09:48:00Z</dcterms:created>
  <dcterms:modified xsi:type="dcterms:W3CDTF">2021-05-12T20:04:44Z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