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Seine-Saint-Denis</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652956879"/>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instrText> TOC \z \o "1-3" \u \h</w:instrText>
          </w:r>
          <w:r>
            <w:fldChar w:fldCharType="separate"/>
          </w:r>
          <w:hyperlink w:anchor="__RefHeading___Toc2084_2192117215">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086_2192117215">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088_2192117215">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090_2192117215">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092_2192117215">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094_2192117215">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096_2192117215">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098_2192117215">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00_2192117215">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02_2192117215">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04_2192117215">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06_2192117215">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08_2192117215">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10_2192117215">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12_2192117215">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14_2192117215">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16_2192117215">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18_2192117215">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20_2192117215">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22_2192117215">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24_2192117215">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26_2192117215">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28_2192117215">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30_2192117215">
            <w:r>
              <w:rPr>
                <w:webHidden/>
                <w:rStyle w:val="Sautdindex"/>
                <w:vanish w:val="false"/>
              </w:rPr>
              <w:t>21 - Service civique</w:t>
              <w:tab/>
              <w:t>26</w:t>
            </w:r>
          </w:hyperlink>
        </w:p>
      </w:sdtContent>
    </w:sdt>
    <w:p>
      <w:pPr>
        <w:pStyle w:val="Customstyle2"/>
        <w:rPr/>
      </w:pPr>
      <w:r>
        <w:rPr/>
      </w:r>
      <w: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084_2192117215"/>
      <w:bookmarkEnd w:id="0"/>
      <w:r>
        <w:rPr>
          <w:rFonts w:ascii="Marianne" w:hAnsi="Marianne"/>
          <w:sz w:val="48"/>
          <w:szCs w:val="48"/>
        </w:rPr>
        <w:t>Volet 1 : Ecologie</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cadre"/>
              <w:overflowPunct w:val="false"/>
              <w:spacing w:lineRule="auto" w:line="240" w:before="0" w:after="0"/>
              <w:jc w:val="left"/>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00000A"/>
                <w:sz w:val="20"/>
                <w:szCs w:val="20"/>
              </w:rPr>
            </w:pPr>
            <w:r>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180 millions d’euros fléchés vers la Seine-Saint-Denis à ce jour.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086_2192117215"/>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2 285 (7%)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2 000 (6%)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1 706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bookmarkEnd w:id="2"/>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34 914 (20%)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31 277 (20%)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27 129 (20%)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088_2192117215"/>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2600"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3 501 (16%)  </w:t>
            </w:r>
          </w:p>
        </w:tc>
        <w:tc>
          <w:tcPr>
            <w:tcW w:w="238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100.0 M€ (21%)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2 654 (16%)  </w:t>
            </w:r>
          </w:p>
        </w:tc>
        <w:tc>
          <w:tcPr>
            <w:tcW w:w="238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90.3 M€ (22%)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1 800 (16%)  </w:t>
            </w:r>
          </w:p>
        </w:tc>
        <w:tc>
          <w:tcPr>
            <w:tcW w:w="238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80.7 M€ (22%)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bookmarkEnd w:id="4"/>
            <w:r>
              <w:rPr>
                <w:rFonts w:ascii="Marianne" w:hAnsi="Marianne"/>
                <w:b/>
                <w:bCs/>
                <w:sz w:val="20"/>
                <w:szCs w:val="20"/>
              </w:rPr>
              <w:t>: Île-de-France</w:t>
            </w:r>
          </w:p>
        </w:tc>
      </w:tr>
      <w:tr>
        <w:trPr>
          <w:trHeight w:val="450" w:hRule="atLeast"/>
        </w:trPr>
        <w:tc>
          <w:tcPr>
            <w:tcW w:w="2600"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21 834 (10%)  </w:t>
            </w:r>
          </w:p>
        </w:tc>
        <w:tc>
          <w:tcPr>
            <w:tcW w:w="2375"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472.8 M€ (12%)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16 514 (10%)  </w:t>
            </w:r>
          </w:p>
        </w:tc>
        <w:tc>
          <w:tcPr>
            <w:tcW w:w="2375"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414.4 M€ (13%)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11 104 (10%)  </w:t>
            </w:r>
          </w:p>
        </w:tc>
        <w:tc>
          <w:tcPr>
            <w:tcW w:w="2375"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362.3 M€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5"/>
        <w:gridCol w:w="4446"/>
        <w:gridCol w:w="2375"/>
      </w:tblGrid>
      <w:tr>
        <w:trPr>
          <w:trHeight w:val="400" w:hRule="atLeast"/>
        </w:trPr>
        <w:tc>
          <w:tcPr>
            <w:tcW w:w="9416" w:type="dxa"/>
            <w:gridSpan w:val="3"/>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p>
    <w:p>
      <w:pPr>
        <w:pStyle w:val="Customstyle2"/>
        <w:rPr/>
      </w:pPr>
      <w:r>
        <w:rPr/>
      </w:r>
    </w:p>
    <w:p>
      <w:pPr>
        <w:pStyle w:val="Customstyle2"/>
        <w:rPr/>
      </w:pPr>
      <w:r>
        <w:rPr/>
      </w:r>
    </w:p>
    <w:p>
      <w:pPr>
        <w:pStyle w:val="Customstyle2"/>
        <w:rPr/>
      </w:pPr>
      <w:r>
        <w:rPr/>
      </w:r>
    </w:p>
    <w:p>
      <w:pPr>
        <w:pStyle w:val="Customstyle2"/>
        <w:rPr/>
      </w:pPr>
      <w:r>
        <w:rPr/>
      </w:r>
    </w:p>
    <w:p>
      <w:pPr>
        <w:pStyle w:val="Customstyle2"/>
        <w:rPr>
          <w:rFonts w:asciiTheme="minorHAnsi" w:cstheme="minorBidi" w:eastAsiaTheme="minorHAnsi" w:hAnsiTheme="minorHAnsi"/>
          <w:highlight w:val="yellow"/>
        </w:rPr>
      </w:pPr>
      <w:r>
        <w:rPr>
          <w:rFonts w:asciiTheme="minorHAnsi" w:cstheme="minorBidi" w:eastAsiaTheme="minorHAnsi" w:hAnsiTheme="minorHAnsi"/>
          <w:sz w:val="22"/>
          <w:szCs w:val="22"/>
          <w:highlight w:val="yellow"/>
        </w:rPr>
        <w:t>En juillet 20</w:t>
      </w:r>
      <w:r>
        <w:rPr>
          <w:rFonts w:eastAsia="Calibri" w:cs="" w:cstheme="minorBidi" w:eastAsiaTheme="minorHAnsi"/>
          <w:color w:val="00000A"/>
          <w:kern w:val="0"/>
          <w:sz w:val="22"/>
          <w:szCs w:val="22"/>
          <w:highlight w:val="yellow"/>
          <w:lang w:val="fr-FR" w:eastAsia="en-US" w:bidi="ar-SA"/>
        </w:rPr>
        <w:t xml:space="preserve">21 : 4 500 dossiers d’aide </w:t>
      </w:r>
      <w:r>
        <w:rPr>
          <w:rFonts w:eastAsia="Calibri" w:cs="" w:cstheme="minorBidi" w:eastAsiaTheme="minorHAnsi"/>
          <w:b/>
          <w:color w:val="00000A"/>
          <w:kern w:val="0"/>
          <w:sz w:val="22"/>
          <w:szCs w:val="22"/>
          <w:highlight w:val="yellow"/>
          <w:lang w:val="fr-FR" w:eastAsia="en-US" w:bidi="ar-SA"/>
        </w:rPr>
        <w:t>MaPrimeRenov</w:t>
      </w:r>
      <w:r>
        <w:rPr>
          <w:rFonts w:eastAsia="Calibri" w:cs="" w:cstheme="minorBidi" w:eastAsiaTheme="minorHAnsi"/>
          <w:color w:val="00000A"/>
          <w:kern w:val="0"/>
          <w:sz w:val="22"/>
          <w:szCs w:val="22"/>
          <w:highlight w:val="yellow"/>
          <w:lang w:val="fr-FR" w:eastAsia="en-US" w:bidi="ar-SA"/>
        </w:rPr>
        <w:t>’ (des bénéficiaires majoritairement modestes ; 4 200 € en moyenne attribués par dossier, complétés de 2 900 € au titre des CEE ; un reste à charge limité à 35% du coût total des travaux)  – 20M € de subventions</w:t>
      </w:r>
    </w:p>
    <w:p>
      <w:pPr>
        <w:pStyle w:val="Customstyle2"/>
        <w:rPr>
          <w:sz w:val="22"/>
          <w:szCs w:val="22"/>
        </w:rPr>
      </w:pPr>
      <w:r>
        <w:rPr>
          <w:sz w:val="22"/>
          <w:szCs w:val="22"/>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090_2192117215"/>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bookmarkEnd w:id="6"/>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57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57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52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p>
    <w:p>
      <w:pPr>
        <w:pStyle w:val="Customstyle2"/>
        <w:rPr>
          <w:rFonts w:asciiTheme="minorHAnsi" w:cstheme="minorBidi" w:eastAsiaTheme="minorHAnsi" w:hAnsiTheme="minorHAnsi"/>
          <w:highlight w:val="yellow"/>
        </w:rPr>
      </w:pPr>
      <w:r>
        <w:rPr>
          <w:rFonts w:asciiTheme="minorHAnsi" w:cstheme="minorBidi" w:eastAsiaTheme="minorHAnsi" w:hAnsiTheme="minorHAnsi"/>
          <w:sz w:val="24"/>
          <w:szCs w:val="24"/>
          <w:highlight w:val="yellow"/>
        </w:rPr>
        <w:t>En juillet 202</w:t>
      </w:r>
      <w:r>
        <w:rPr>
          <w:rFonts w:eastAsia="Calibri" w:cs="" w:cstheme="minorBidi" w:eastAsiaTheme="minorHAnsi"/>
          <w:color w:val="00000A"/>
          <w:kern w:val="0"/>
          <w:sz w:val="24"/>
          <w:szCs w:val="24"/>
          <w:highlight w:val="yellow"/>
          <w:lang w:val="fr-FR" w:eastAsia="en-US" w:bidi="ar-SA"/>
        </w:rPr>
        <w:t xml:space="preserve">1 : 5 entreprises sont accompagnées dans leurs investissements par le fonds pour la modernisation du secteur aéronautique : Airbus Helicopters (Dugny), CGR (Sevran), OEM Services (Tremblay-en-France), Revêtements de Chrome Dur (Pierrefitte-sur-Seine), Société des plastiques nobles (La Courneuve). </w:t>
      </w:r>
    </w:p>
    <w:p>
      <w:pPr>
        <w:pStyle w:val="Customstyle2"/>
        <w:rPr>
          <w:rFonts w:ascii="Calibri" w:hAnsi="Calibri" w:eastAsia="Calibri" w:cs="" w:asciiTheme="minorHAnsi" w:cstheme="minorBidi" w:eastAsiaTheme="minorHAnsi" w:hAnsiTheme="minorHAnsi"/>
          <w:color w:val="00000A"/>
          <w:kern w:val="0"/>
          <w:sz w:val="24"/>
          <w:szCs w:val="24"/>
          <w:highlight w:val="yellow"/>
          <w:lang w:val="fr-FR" w:eastAsia="en-US" w:bidi="ar-SA"/>
        </w:rPr>
      </w:pPr>
      <w:r>
        <w:rPr>
          <w:rFonts w:eastAsia="Calibri" w:cs="" w:cstheme="minorBidi" w:eastAsiaTheme="minorHAnsi"/>
          <w:color w:val="00000A"/>
          <w:kern w:val="0"/>
          <w:sz w:val="24"/>
          <w:szCs w:val="24"/>
          <w:highlight w:val="yellow"/>
          <w:lang w:val="fr-FR" w:eastAsia="en-US" w:bidi="ar-SA"/>
        </w:rPr>
      </w:r>
    </w:p>
    <w:p>
      <w:pPr>
        <w:pStyle w:val="Customstyle2"/>
        <w:rPr>
          <w:rFonts w:ascii="Calibri" w:hAnsi="Calibri" w:eastAsia="Calibri" w:cs="" w:asciiTheme="minorHAnsi" w:cstheme="minorBidi" w:eastAsiaTheme="minorHAnsi" w:hAnsiTheme="minorHAnsi"/>
          <w:color w:val="00000A"/>
          <w:kern w:val="0"/>
          <w:sz w:val="24"/>
          <w:szCs w:val="24"/>
          <w:highlight w:val="yellow"/>
          <w:lang w:val="fr-FR" w:eastAsia="en-US" w:bidi="ar-SA"/>
        </w:rPr>
      </w:pPr>
      <w:r>
        <w:rPr>
          <w:rFonts w:eastAsia="Calibri" w:cs="" w:cstheme="minorBidi" w:eastAsiaTheme="minorHAnsi"/>
          <w:color w:val="00000A"/>
          <w:kern w:val="0"/>
          <w:sz w:val="24"/>
          <w:szCs w:val="24"/>
          <w:highlight w:val="yellow"/>
          <w:lang w:val="fr-FR" w:eastAsia="en-US" w:bidi="ar-SA"/>
        </w:rPr>
        <w:t>EXEMPLE - Focus sur CGR Sevran.</w:t>
      </w:r>
    </w:p>
    <w:p>
      <w:pPr>
        <w:pStyle w:val="Customstyle2"/>
        <w:rPr>
          <w:rFonts w:ascii="Calibri" w:hAnsi="Calibri" w:eastAsia="Calibri" w:cs="" w:asciiTheme="minorHAnsi" w:cstheme="minorBidi" w:eastAsiaTheme="minorHAnsi" w:hAnsiTheme="minorHAnsi"/>
          <w:color w:val="00000A"/>
          <w:kern w:val="0"/>
          <w:sz w:val="24"/>
          <w:szCs w:val="24"/>
          <w:highlight w:val="yellow"/>
          <w:lang w:val="fr-FR" w:eastAsia="en-US" w:bidi="ar-SA"/>
        </w:rPr>
      </w:pPr>
      <w:r>
        <w:rPr>
          <w:rFonts w:eastAsia="Calibri" w:cs="" w:cstheme="minorBidi" w:eastAsiaTheme="minorHAnsi"/>
          <w:color w:val="00000A"/>
          <w:kern w:val="0"/>
          <w:sz w:val="24"/>
          <w:szCs w:val="24"/>
          <w:highlight w:val="yellow"/>
          <w:lang w:val="fr-FR" w:eastAsia="en-US" w:bidi="ar-SA"/>
        </w:rPr>
      </w:r>
    </w:p>
    <w:p>
      <w:pPr>
        <w:pStyle w:val="Corpsdetexte"/>
        <w:rPr>
          <w:rFonts w:ascii="Calibri" w:hAnsi="Calibri" w:eastAsia="Calibri" w:cs="" w:asciiTheme="minorHAnsi" w:cstheme="minorBidi" w:eastAsiaTheme="minorHAnsi" w:hAnsiTheme="minorHAnsi"/>
          <w:color w:val="00000A"/>
          <w:kern w:val="0"/>
          <w:sz w:val="24"/>
          <w:szCs w:val="24"/>
          <w:lang w:val="fr-FR" w:eastAsia="en-US" w:bidi="ar-SA"/>
        </w:rPr>
      </w:pPr>
      <w:r>
        <w:rPr>
          <w:rFonts w:eastAsia="Calibri" w:cs="" w:cstheme="minorBidi" w:eastAsiaTheme="minorHAnsi" w:ascii="Marianne-Regular;serif" w:hAnsi="Marianne-Regular;serif"/>
          <w:color w:val="000000"/>
          <w:kern w:val="0"/>
          <w:sz w:val="20"/>
          <w:szCs w:val="24"/>
          <w:highlight w:val="yellow"/>
          <w:lang w:val="fr-FR" w:eastAsia="en-US" w:bidi="ar-SA"/>
        </w:rPr>
        <w:t>Le groupe familial CGR compte 19 sites en France dont son siège et une usine à Sevran, et se spécialise dans l’industrialisation et la production de pièces métalliques, notamment de ressorts pour le secteur aéronautique. Il prévoit d’accélérer la modernisation de son outil de production pour améliorer sa compétitivité et se développer à</w:t>
      </w:r>
      <w:r>
        <w:rPr>
          <w:rFonts w:eastAsia="Calibri" w:cs="" w:cstheme="minorBidi" w:eastAsiaTheme="minorHAnsi" w:ascii="Marianne-Regular;serif" w:hAnsi="Marianne-Regular;serif"/>
          <w:color w:val="000000"/>
          <w:kern w:val="0"/>
          <w:sz w:val="20"/>
          <w:szCs w:val="24"/>
          <w:lang w:val="fr-FR" w:eastAsia="en-US" w:bidi="ar-SA"/>
        </w:rPr>
        <w:t xml:space="preserve"> </w:t>
      </w:r>
      <w:r>
        <w:rPr>
          <w:rFonts w:eastAsia="Calibri" w:cs="" w:cstheme="minorBidi" w:eastAsiaTheme="minorHAnsi" w:ascii="Marianne-Regular;serif" w:hAnsi="Marianne-Regular;serif"/>
          <w:color w:val="000000"/>
          <w:kern w:val="0"/>
          <w:sz w:val="20"/>
          <w:szCs w:val="24"/>
          <w:highlight w:val="yellow"/>
          <w:lang w:val="fr-FR" w:eastAsia="en-US" w:bidi="ar-SA"/>
        </w:rPr>
        <w:t>l’export, notamment vers le marché des ressorts aéronautiques aux Etats-Unis depuis la France. Son projet «</w:t>
      </w:r>
      <w:r>
        <w:rPr>
          <w:rFonts w:eastAsia="Calibri" w:cs="" w:cstheme="minorBidi" w:eastAsiaTheme="minorHAnsi"/>
          <w:color w:val="000000"/>
          <w:kern w:val="0"/>
          <w:sz w:val="24"/>
          <w:szCs w:val="24"/>
          <w:highlight w:val="yellow"/>
          <w:lang w:val="fr-FR" w:eastAsia="en-US" w:bidi="ar-SA"/>
        </w:rPr>
        <w:t> </w:t>
      </w:r>
      <w:r>
        <w:rPr>
          <w:rFonts w:eastAsia="Calibri" w:cs="" w:cstheme="minorBidi" w:eastAsiaTheme="minorHAnsi" w:ascii="Marianne-Regular;serif" w:hAnsi="Marianne-Regular;serif"/>
          <w:color w:val="000000"/>
          <w:kern w:val="0"/>
          <w:sz w:val="20"/>
          <w:szCs w:val="24"/>
          <w:highlight w:val="yellow"/>
          <w:lang w:val="fr-FR" w:eastAsia="en-US" w:bidi="ar-SA"/>
        </w:rPr>
        <w:t>CGR Sevran 4.0</w:t>
      </w:r>
      <w:r>
        <w:rPr>
          <w:rFonts w:eastAsia="Calibri" w:cs="" w:cstheme="minorBidi" w:eastAsiaTheme="minorHAnsi"/>
          <w:color w:val="000000"/>
          <w:kern w:val="0"/>
          <w:sz w:val="24"/>
          <w:szCs w:val="24"/>
          <w:highlight w:val="yellow"/>
          <w:lang w:val="fr-FR" w:eastAsia="en-US" w:bidi="ar-SA"/>
        </w:rPr>
        <w:t> </w:t>
      </w:r>
      <w:r>
        <w:rPr>
          <w:rFonts w:eastAsia="Calibri" w:cs="" w:cstheme="minorBidi" w:eastAsiaTheme="minorHAnsi" w:ascii="Marianne-Regular;serif" w:hAnsi="Marianne-Regular;serif"/>
          <w:color w:val="000000"/>
          <w:kern w:val="0"/>
          <w:sz w:val="20"/>
          <w:szCs w:val="24"/>
          <w:highlight w:val="yellow"/>
          <w:lang w:val="fr-FR" w:eastAsia="en-US" w:bidi="ar-SA"/>
        </w:rPr>
        <w:t>»</w:t>
      </w:r>
      <w:r>
        <w:rPr>
          <w:rFonts w:eastAsia="Calibri" w:cs="" w:cstheme="minorBidi" w:eastAsiaTheme="minorHAnsi"/>
          <w:color w:val="000000"/>
          <w:kern w:val="0"/>
          <w:sz w:val="24"/>
          <w:szCs w:val="24"/>
          <w:highlight w:val="yellow"/>
          <w:lang w:val="fr-FR" w:eastAsia="en-US" w:bidi="ar-SA"/>
        </w:rPr>
        <w:t xml:space="preserve"> </w:t>
      </w:r>
      <w:r>
        <w:rPr>
          <w:rFonts w:eastAsia="Calibri" w:cs="" w:cstheme="minorBidi" w:eastAsiaTheme="minorHAnsi" w:ascii="Marianne-Regular;serif" w:hAnsi="Marianne-Regular;serif"/>
          <w:color w:val="000000"/>
          <w:kern w:val="0"/>
          <w:sz w:val="20"/>
          <w:szCs w:val="24"/>
          <w:highlight w:val="yellow"/>
          <w:lang w:val="fr-FR" w:eastAsia="en-US" w:bidi="ar-SA"/>
        </w:rPr>
        <w:t>bénéficie d’un soutien de France Relance à hauteur de 665</w:t>
      </w:r>
      <w:r>
        <w:rPr>
          <w:rFonts w:eastAsia="Calibri" w:cs="" w:cstheme="minorBidi" w:eastAsiaTheme="minorHAnsi"/>
          <w:color w:val="000000"/>
          <w:kern w:val="0"/>
          <w:sz w:val="24"/>
          <w:szCs w:val="24"/>
          <w:highlight w:val="yellow"/>
          <w:lang w:val="fr-FR" w:eastAsia="en-US" w:bidi="ar-SA"/>
        </w:rPr>
        <w:t> </w:t>
      </w:r>
      <w:r>
        <w:rPr>
          <w:rFonts w:eastAsia="Calibri" w:cs="" w:cstheme="minorBidi" w:eastAsiaTheme="minorHAnsi" w:ascii="Marianne-Regular;serif" w:hAnsi="Marianne-Regular;serif"/>
          <w:color w:val="000000"/>
          <w:kern w:val="0"/>
          <w:sz w:val="20"/>
          <w:szCs w:val="24"/>
          <w:highlight w:val="yellow"/>
          <w:lang w:val="fr-FR" w:eastAsia="en-US" w:bidi="ar-SA"/>
        </w:rPr>
        <w:t>000 euros.</w:t>
      </w:r>
    </w:p>
    <w:p>
      <w:pPr>
        <w:pStyle w:val="Corpsdetexte"/>
        <w:spacing w:before="0" w:after="0"/>
        <w:rPr>
          <w:highlight w:val="yellow"/>
        </w:rPr>
      </w:pPr>
      <w:r>
        <w:rPr>
          <w:highlight w:val="yellow"/>
        </w:rPr>
      </w:r>
    </w:p>
    <w:p>
      <w:pPr>
        <w:pStyle w:val="Corpsdetexte"/>
        <w:spacing w:before="0" w:after="0"/>
        <w:rPr>
          <w:rFonts w:ascii="Marianne-Regular;serif" w:hAnsi="Marianne-Regular;serif"/>
          <w:color w:val="000000"/>
          <w:sz w:val="20"/>
          <w:highlight w:val="yellow"/>
        </w:rPr>
      </w:pPr>
      <w:r>
        <w:rPr>
          <w:rFonts w:ascii="Marianne-Regular;serif" w:hAnsi="Marianne-Regular;serif"/>
          <w:color w:val="000000"/>
          <w:sz w:val="20"/>
          <w:highlight w:val="yellow"/>
        </w:rPr>
        <w:t>Cet investissement en solutions logicielles et nouvelles machines permettra d’automatiser la production, digitaliser le suivi d’exploitation et l’expérience client pour une plus grande traçabilité produit et flexibilité des opérations, ainsi que d’obtenir la certification NADCAP - requise pour servir le marché américain - pour son procédé propriétaire de traitement thermique. Il se traduira également par une amélioration des conditions de travail pour les salariés, en réduisant la pénibilité des opérations à faible valeur ajoutée.</w:t>
      </w:r>
    </w:p>
    <w:p>
      <w:pPr>
        <w:pStyle w:val="Corpsdetexte"/>
        <w:spacing w:before="0" w:after="0"/>
        <w:rPr>
          <w:highlight w:val="yellow"/>
        </w:rPr>
      </w:pPr>
      <w:r>
        <w:rPr>
          <w:highlight w:val="yellow"/>
        </w:rPr>
      </w:r>
    </w:p>
    <w:p>
      <w:pPr>
        <w:pStyle w:val="Corpsdetexte"/>
        <w:spacing w:before="0" w:after="0"/>
        <w:rPr>
          <w:rFonts w:ascii="Marianne-Regular;serif" w:hAnsi="Marianne-Regular;serif"/>
          <w:color w:val="000000"/>
          <w:sz w:val="20"/>
          <w:highlight w:val="yellow"/>
        </w:rPr>
      </w:pPr>
      <w:r>
        <w:rPr>
          <w:rFonts w:ascii="Marianne-Regular;serif" w:hAnsi="Marianne-Regular;serif"/>
          <w:color w:val="000000"/>
          <w:sz w:val="20"/>
          <w:highlight w:val="yellow"/>
        </w:rPr>
        <w:t xml:space="preserve">Le projet devrait permettre de préserver 8 emplois et recruter 2 nouveaux collaborateurs à Sevran. </w:t>
      </w:r>
    </w:p>
    <w:p>
      <w:pPr>
        <w:pStyle w:val="Corpsdetexte"/>
        <w:spacing w:before="0" w:after="0"/>
        <w:rPr>
          <w:rFonts w:ascii="Marianne-Regular;serif" w:hAnsi="Marianne-Regular;serif"/>
          <w:color w:val="000000"/>
          <w:sz w:val="20"/>
        </w:rPr>
      </w:pPr>
      <w:r>
        <w:rPr>
          <w:rFonts w:ascii="Marianne-Regular;serif" w:hAnsi="Marianne-Regular;serif"/>
          <w:color w:val="000000"/>
          <w:sz w:val="20"/>
          <w:highlight w:val="yellow"/>
        </w:rPr>
        <w:t>CGR a également été soutenu par le fonds de soutien aux investissements de modernisation de la filière automobile à hauteur de 792 000 euros pour un projet de transformation déployé sur ses sites de Sarrebourg en Moselle (357 600 euros) et de Saint-Yorre dans l’Allier (434 400 euros).</w:t>
      </w:r>
      <w:r>
        <w:rPr>
          <w:rFonts w:ascii="Marianne-Regular;serif" w:hAnsi="Marianne-Regular;serif"/>
          <w:color w:val="000000"/>
          <w:sz w:val="20"/>
        </w:rPr>
        <w:t xml:space="preserve"> </w:t>
      </w:r>
    </w:p>
    <w:p>
      <w:pPr>
        <w:pStyle w:val="Customstyle2"/>
        <w:rPr>
          <w:rFonts w:ascii="Calibri" w:hAnsi="Calibri" w:eastAsia="Calibri" w:cs="" w:asciiTheme="minorHAnsi" w:cstheme="minorBidi" w:eastAsiaTheme="minorHAnsi" w:hAnsiTheme="minorHAnsi"/>
          <w:color w:val="00000A"/>
          <w:kern w:val="0"/>
          <w:sz w:val="24"/>
          <w:szCs w:val="24"/>
          <w:lang w:val="fr-FR" w:eastAsia="en-US" w:bidi="ar-SA"/>
        </w:rPr>
      </w:pPr>
      <w:r>
        <w:rPr>
          <w:rFonts w:eastAsia="Calibri" w:cs="" w:cstheme="minorBidi" w:eastAsiaTheme="minorHAnsi"/>
          <w:color w:val="00000A"/>
          <w:kern w:val="0"/>
          <w:sz w:val="24"/>
          <w:szCs w:val="24"/>
          <w:lang w:val="fr-FR" w:eastAsia="en-US" w:bidi="ar-SA"/>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092_2192117215"/>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bookmarkEnd w:id="8"/>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113 (1%)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113 (1%)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094_2192117215"/>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1 989 (13%)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1 868 (13%)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1 746 (12%)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bookmarkEnd w:id="10"/>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15 866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14 930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14 053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096_2192117215"/>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bookmarkEnd w:id="12"/>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p>
    <w:p>
      <w:pPr>
        <w:pStyle w:val="Customstyle2"/>
        <w:rPr/>
      </w:pPr>
      <w:r>
        <w:rPr/>
      </w:r>
    </w:p>
    <w:p>
      <w:pPr>
        <w:pStyle w:val="Customstyle2"/>
        <w:rPr/>
      </w:pPr>
      <w:r>
        <w:rPr/>
      </w:r>
    </w:p>
    <w:p>
      <w:pPr>
        <w:pStyle w:val="Customstyle2"/>
        <w:rPr/>
      </w:pPr>
      <w:r>
        <w:rPr/>
      </w:r>
    </w:p>
    <w:p>
      <w:pPr>
        <w:pStyle w:val="Customstyle2"/>
        <w:rPr>
          <w:sz w:val="24"/>
          <w:szCs w:val="24"/>
          <w:highlight w:val="yellow"/>
        </w:rPr>
      </w:pPr>
      <w:r>
        <w:rPr>
          <w:sz w:val="24"/>
          <w:szCs w:val="24"/>
          <w:highlight w:val="yellow"/>
        </w:rPr>
        <w:t>En juillet 2021 :</w:t>
      </w:r>
    </w:p>
    <w:p>
      <w:pPr>
        <w:pStyle w:val="Corpsdetexte"/>
        <w:rPr/>
      </w:pPr>
      <w:r>
        <w:rPr>
          <w:rFonts w:eastAsia="Calibri" w:cs=""/>
          <w:color w:val="00000A"/>
          <w:kern w:val="0"/>
          <w:sz w:val="24"/>
          <w:szCs w:val="24"/>
          <w:highlight w:val="yellow"/>
          <w:lang w:val="fr-FR" w:eastAsia="en-US" w:bidi="ar-SA"/>
        </w:rPr>
        <w:t>-8 projets de requalification foncière pourront être lancés grâce au soutien de l’appel à projets « recyclage foncier des friches pour l’aménagement en Ile-de-France », pour un montant de subventions cumulé de 7,5 millions d’euros </w:t>
      </w:r>
      <w:r>
        <w:rPr>
          <w:rFonts w:eastAsia="Calibri" w:cs=""/>
          <w:color w:val="00000A"/>
          <w:kern w:val="0"/>
          <w:sz w:val="24"/>
          <w:szCs w:val="24"/>
          <w:highlight w:val="yellow"/>
          <w:lang w:val="fr-FR" w:eastAsia="en-US" w:bidi="ar-SA"/>
        </w:rPr>
        <w:t>(</w:t>
      </w:r>
      <w:r>
        <w:rPr>
          <w:highlight w:val="yellow"/>
        </w:rPr>
        <w:t>études ou travaux – Aubervilliers, Montfermeil, Noisy-le-Sec, Saint-Denis, La Courneuve, le Pré-Saint-Gervais, Pantin)</w:t>
      </w:r>
    </w:p>
    <w:p>
      <w:pPr>
        <w:pStyle w:val="Corpsdetexte"/>
        <w:rPr>
          <w:rFonts w:ascii="Calibri" w:hAnsi="Calibri" w:eastAsia="Calibri" w:cs=""/>
          <w:color w:val="00000A"/>
          <w:kern w:val="0"/>
          <w:sz w:val="24"/>
          <w:szCs w:val="24"/>
          <w:highlight w:val="yellow"/>
          <w:lang w:val="fr-FR" w:eastAsia="en-US" w:bidi="ar-SA"/>
        </w:rPr>
      </w:pPr>
      <w:r>
        <w:rPr>
          <w:rFonts w:eastAsia="Calibri" w:cs=""/>
          <w:color w:val="00000A"/>
          <w:kern w:val="0"/>
          <w:sz w:val="24"/>
          <w:szCs w:val="24"/>
          <w:highlight w:val="yellow"/>
          <w:lang w:val="fr-FR" w:eastAsia="en-US" w:bidi="ar-SA"/>
        </w:rPr>
      </w:r>
    </w:p>
    <w:p>
      <w:pPr>
        <w:pStyle w:val="Corpsdetexte"/>
        <w:ind w:left="360" w:right="0" w:hanging="360"/>
        <w:rPr/>
      </w:pPr>
      <w:r>
        <w:rPr>
          <w:rFonts w:eastAsia="Calibri" w:cs=""/>
          <w:color w:val="00000A"/>
          <w:kern w:val="0"/>
          <w:sz w:val="24"/>
          <w:szCs w:val="24"/>
          <w:highlight w:val="yellow"/>
          <w:lang w:val="fr-FR" w:eastAsia="en-US" w:bidi="ar-SA"/>
        </w:rPr>
        <w:t xml:space="preserve">-3 opérations de dépollution et restructuration de sites anciennement industriels seront également accompagnées par l’Ademe, à hauteur d’1 million d’euros </w:t>
      </w:r>
      <w:r>
        <w:rPr>
          <w:rFonts w:eastAsia="Calibri" w:cs=""/>
          <w:color w:val="00000A"/>
          <w:kern w:val="0"/>
          <w:sz w:val="24"/>
          <w:szCs w:val="24"/>
          <w:highlight w:val="yellow"/>
          <w:lang w:val="fr-FR" w:eastAsia="en-US" w:bidi="ar-SA"/>
        </w:rPr>
        <w:t>(</w:t>
      </w:r>
      <w:r>
        <w:rPr>
          <w:highlight w:val="yellow"/>
        </w:rPr>
        <w:t>études et travaux – Epinay-sur-Seine, Aubervilliers)</w:t>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098_2192117215"/>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14 (13%)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 (15%)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 (14%)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bookmarkEnd w:id="14"/>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107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89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77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rpsdetexte"/>
              <w:overflowPunct w:val="true"/>
              <w:spacing w:lineRule="auto" w:line="240" w:before="0" w:after="0"/>
              <w:jc w:val="left"/>
              <w:rPr>
                <w:highlight w:val="yellow"/>
              </w:rPr>
            </w:pPr>
            <w:r>
              <w:rPr>
                <w:highlight w:val="yellow"/>
              </w:rPr>
              <w:t xml:space="preserve">France Relance, ce sont 37 opérations de rénovation thermique et énergétique de l’immobilier de l’État soutenues à hauteur de 84,6 millions d’euros, et autant d’opportunités pour les carnets de commandes des entreprises du territoire. </w:t>
            </w:r>
          </w:p>
          <w:p>
            <w:pPr>
              <w:pStyle w:val="Corpsdetexte"/>
              <w:rPr>
                <w:highlight w:val="yellow"/>
              </w:rPr>
            </w:pPr>
            <w:r>
              <w:rPr>
                <w:highlight w:val="yellow"/>
              </w:rPr>
              <w:t>Ces rénovations concernent des établissements de l’enseignement supérieur et de la recherche et des centres de formation - pour améliorer les conditions de vie et de formation des étudiants, des bâtiments administratifs accueillant les services déconcentrés de l’Etat ou des opérateurs publics - pour un meilleur confort des agents et des usagers, des équipements de l’armée ou encore des ét</w:t>
            </w:r>
            <w:r>
              <w:rPr>
                <w:color w:val="000000"/>
                <w:highlight w:val="yellow"/>
              </w:rPr>
              <w:t>ablissements culturels comme des musées.</w:t>
            </w:r>
          </w:p>
          <w:p>
            <w:pPr>
              <w:pStyle w:val="Corpsdetexte"/>
              <w:spacing w:before="0" w:after="0"/>
              <w:rPr>
                <w:color w:val="000000"/>
                <w:highlight w:val="yellow"/>
              </w:rPr>
            </w:pPr>
            <w:r>
              <w:rPr>
                <w:color w:val="000000"/>
                <w:highlight w:val="yellow"/>
              </w:rPr>
              <w:t>Quelques exemples :</w:t>
            </w:r>
          </w:p>
          <w:p>
            <w:pPr>
              <w:pStyle w:val="Corpsdetexte"/>
              <w:spacing w:before="0" w:after="0"/>
              <w:rPr>
                <w:color w:val="000000"/>
                <w:highlight w:val="yellow"/>
              </w:rPr>
            </w:pPr>
            <w:r>
              <w:rPr>
                <w:color w:val="000000"/>
                <w:highlight w:val="yellow"/>
              </w:rPr>
              <w:t>-à Saint-Denis et Tremblay-en-France l’Université Paris 8, à Villetaneuse le CROUS</w:t>
            </w:r>
          </w:p>
          <w:p>
            <w:pPr>
              <w:pStyle w:val="Corpsdetexte"/>
              <w:spacing w:before="0" w:after="0"/>
              <w:rPr>
                <w:color w:val="000000"/>
                <w:highlight w:val="yellow"/>
              </w:rPr>
            </w:pPr>
            <w:r>
              <w:rPr>
                <w:color w:val="000000"/>
                <w:highlight w:val="yellow"/>
              </w:rPr>
              <w:t>-</w:t>
            </w:r>
            <w:r>
              <w:rPr>
                <w:color w:val="000000"/>
                <w:highlight w:val="yellow"/>
              </w:rPr>
              <w:t>à</w:t>
            </w:r>
            <w:r>
              <w:rPr>
                <w:color w:val="000000"/>
                <w:highlight w:val="yellow"/>
              </w:rPr>
              <w:t xml:space="preserve"> Bobigny, la cité administrative, qui rassemble plusieurs services départementaux de l’Etat, connaîtra d’importants travaux de rénovation thermique</w:t>
            </w:r>
          </w:p>
          <w:p>
            <w:pPr>
              <w:pStyle w:val="Corpsdetexte"/>
              <w:spacing w:before="0" w:after="0"/>
              <w:rPr>
                <w:color w:val="000000"/>
                <w:highlight w:val="yellow"/>
              </w:rPr>
            </w:pPr>
            <w:r>
              <w:rPr>
                <w:color w:val="000000"/>
                <w:highlight w:val="yellow"/>
              </w:rPr>
              <w:t>-</w:t>
            </w:r>
            <w:r>
              <w:rPr>
                <w:color w:val="000000"/>
                <w:highlight w:val="yellow"/>
              </w:rPr>
              <w:t>à</w:t>
            </w:r>
            <w:r>
              <w:rPr>
                <w:color w:val="000000"/>
                <w:highlight w:val="yellow"/>
              </w:rPr>
              <w:t xml:space="preserve"> Dugny et Drancy les gendarmeries vont bénéficier de ces financements afin de se doter de bornes de rechargement des véhicules électriques, celles-ci s’étant dotées d’un parc de véhicules électriques qui permettront de couvrir les petits trajets quotidiens et les missions de liaison.</w:t>
            </w:r>
          </w:p>
          <w:p>
            <w:pPr>
              <w:pStyle w:val="Corpsdetexte"/>
              <w:rPr/>
            </w:pPr>
            <w:r>
              <w:rPr/>
            </w:r>
          </w:p>
          <w:p>
            <w:pPr>
              <w:pStyle w:val="Contenudecadre"/>
              <w:overflowPunct w:val="tru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00_2192117215"/>
      <w:bookmarkEnd w:id="15"/>
      <w:r>
        <w:rPr>
          <w:rFonts w:ascii="Marianne" w:hAnsi="Marianne"/>
          <w:sz w:val="48"/>
          <w:szCs w:val="48"/>
        </w:rPr>
        <w:t>Volet 2 : Compétitivité</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rFonts w:cstheme="minorBidi" w:eastAsiaTheme="minorHAnsi"/>
                <w:highlight w:val="yellow"/>
              </w:rPr>
            </w:pPr>
            <w:r>
              <w:rPr>
                <w:rFonts w:eastAsia="Calibri" w:cs="" w:cstheme="minorBidi" w:eastAsiaTheme="minorHAnsi" w:ascii="Marianne" w:hAnsi="Marianne"/>
                <w:b w:val="false"/>
                <w:bCs w:val="false"/>
                <w:color w:val="00000A"/>
                <w:sz w:val="20"/>
                <w:szCs w:val="20"/>
                <w:highlight w:val="yellow"/>
              </w:rPr>
              <w:t>287 millions d’euros en juillet 2021</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02_2192117215"/>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 (9%)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 (8%)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bookmarkEnd w:id="17"/>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68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51 (7%)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51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rFonts w:cstheme="minorBidi" w:eastAsiaTheme="minorHAnsi"/>
                <w:highlight w:val="yellow"/>
              </w:rPr>
            </w:pPr>
            <w:r>
              <w:rPr>
                <w:rFonts w:eastAsia="Calibri" w:cs="" w:cstheme="minorBidi" w:eastAsiaTheme="minorHAnsi" w:ascii="Marianne" w:hAnsi="Marianne"/>
                <w:b w:val="false"/>
                <w:bCs w:val="false"/>
                <w:color w:val="00000A"/>
                <w:sz w:val="20"/>
                <w:szCs w:val="20"/>
                <w:highlight w:val="yellow"/>
              </w:rPr>
              <w:t xml:space="preserve">  </w:t>
            </w:r>
            <w:r>
              <w:rPr>
                <w:rFonts w:eastAsia="Calibri" w:cs="" w:cstheme="minorBidi" w:eastAsiaTheme="minorHAnsi" w:ascii="Calibri;sans-serif" w:hAnsi="Calibri;sans-serif"/>
                <w:b w:val="false"/>
                <w:bCs w:val="false"/>
                <w:color w:val="00000A"/>
                <w:sz w:val="20"/>
                <w:szCs w:val="20"/>
                <w:highlight w:val="yellow"/>
              </w:rPr>
              <w:t>-</w:t>
            </w:r>
            <w:r>
              <w:rPr>
                <w:rFonts w:eastAsia="Calibri" w:cs="" w:cstheme="minorBidi" w:eastAsiaTheme="minorHAnsi" w:ascii="Calibri;sans-serif" w:hAnsi="Calibri;sans-serif"/>
                <w:b w:val="false"/>
                <w:bCs w:val="false"/>
                <w:caps w:val="false"/>
                <w:smallCaps w:val="false"/>
                <w:color w:val="00000A"/>
                <w:sz w:val="20"/>
                <w:szCs w:val="20"/>
                <w:highlight w:val="yellow"/>
              </w:rPr>
              <w:t xml:space="preserve">          </w:t>
            </w:r>
            <w:r>
              <w:rPr>
                <w:rFonts w:eastAsia="Calibri" w:cs="" w:cstheme="minorBidi" w:eastAsiaTheme="minorHAnsi" w:ascii="Marianne" w:hAnsi="Marianne"/>
                <w:b w:val="false"/>
                <w:bCs w:val="false"/>
                <w:color w:val="00000A"/>
                <w:sz w:val="20"/>
                <w:szCs w:val="20"/>
                <w:highlight w:val="yellow"/>
              </w:rPr>
              <w:t>9 entreprises ont bénéficié du fonds d’accélération des investissements industriels dans les territoires pour développer et diversifier leurs activités, créer et préserver les emplois locaux : ANRH - entreprise adaptée (Tremblay-en-France), Boulenger (Villetaneuse), l’Ecole de production Grand Paris Nord (Stains), Multiplast (Stains), Marmites volantes (Pantin), Organotechnie (La Courneuve), Oskare (Pantin), Sasminimum (Pantin), Vulcanic (Neuilly-sur-Marne).</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00000A"/>
                <w:sz w:val="20"/>
                <w:szCs w:val="20"/>
              </w:rPr>
            </w:pPr>
            <w:r>
              <w:rPr/>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04_2192117215"/>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(7%)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(7%)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bookmarkEnd w:id="19"/>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30 (10%)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30 (10%)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26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00000A"/>
                <w:sz w:val="20"/>
                <w:szCs w:val="20"/>
              </w:rPr>
              <w:t xml:space="preserve"> </w:t>
            </w:r>
            <w:r>
              <w:rPr>
                <w:rFonts w:eastAsia="Calibri" w:cs="" w:ascii="Marianne" w:hAnsi="Marianne" w:cstheme="minorBidi" w:eastAsiaTheme="minorHAnsi"/>
                <w:b w:val="false"/>
                <w:bCs w:val="false"/>
                <w:color w:val="00000A"/>
                <w:sz w:val="20"/>
                <w:szCs w:val="20"/>
                <w:highlight w:val="yellow"/>
              </w:rPr>
              <w:t xml:space="preserve"> </w:t>
            </w:r>
            <w:r>
              <w:rPr>
                <w:rFonts w:eastAsia="Calibri" w:cs="" w:ascii="Calibri;sans-serif" w:hAnsi="Calibri;sans-serif" w:cstheme="minorBidi" w:eastAsiaTheme="minorHAnsi"/>
                <w:b w:val="false"/>
                <w:bCs w:val="false"/>
                <w:color w:val="00000A"/>
                <w:sz w:val="20"/>
                <w:szCs w:val="20"/>
                <w:highlight w:val="yellow"/>
              </w:rPr>
              <w:t>-</w:t>
            </w:r>
            <w:r>
              <w:rPr>
                <w:rFonts w:eastAsia="Calibri" w:cs="" w:ascii="Calibri;sans-serif" w:hAnsi="Calibri;sans-serif" w:cstheme="minorBidi" w:eastAsiaTheme="minorHAnsi"/>
                <w:b w:val="false"/>
                <w:bCs w:val="false"/>
                <w:caps w:val="false"/>
                <w:smallCaps w:val="false"/>
                <w:color w:val="00000A"/>
                <w:sz w:val="20"/>
                <w:szCs w:val="20"/>
                <w:highlight w:val="yellow"/>
              </w:rPr>
              <w:t>  </w:t>
            </w:r>
            <w:r>
              <w:rPr>
                <w:rFonts w:eastAsia="Calibri" w:cs="" w:ascii="Marianne" w:hAnsi="Marianne" w:cstheme="minorBidi" w:eastAsiaTheme="minorHAnsi"/>
                <w:b w:val="false"/>
                <w:bCs w:val="false"/>
                <w:color w:val="00000A"/>
                <w:sz w:val="20"/>
                <w:szCs w:val="20"/>
                <w:highlight w:val="yellow"/>
              </w:rPr>
              <w:t>2 entreprises ont été soutenues au titre du fonds de soutien à la relocalisation dans les secteurs critiques : BforCure à Montreuil et Qubit Pharmaceuticals à Pantin.</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00000A"/>
                <w:sz w:val="20"/>
                <w:szCs w:val="20"/>
              </w:rPr>
            </w:pPr>
            <w:r>
              <w:rPr>
                <w:highlight w:val="yellow"/>
              </w:rPr>
            </w:r>
          </w:p>
          <w:p>
            <w:pPr>
              <w:pStyle w:val="Contenudecadre"/>
              <w:overflowPunct w:val="true"/>
              <w:spacing w:lineRule="auto" w:line="240" w:before="0" w:after="0"/>
              <w:jc w:val="left"/>
              <w:rPr>
                <w:highlight w:val="yellow"/>
              </w:rPr>
            </w:pPr>
            <w:r>
              <w:rPr>
                <w:rFonts w:eastAsia="Calibri" w:cs="" w:ascii="Marianne" w:hAnsi="Marianne" w:cstheme="minorBidi" w:eastAsiaTheme="minorHAnsi"/>
                <w:b w:val="false"/>
                <w:bCs w:val="false"/>
                <w:color w:val="00000A"/>
                <w:sz w:val="20"/>
                <w:szCs w:val="20"/>
                <w:highlight w:val="yellow"/>
              </w:rPr>
              <w:t>EXEMPLE : Focus sur BforCure</w:t>
            </w:r>
          </w:p>
          <w:p>
            <w:pPr>
              <w:pStyle w:val="Corpsdetexte"/>
              <w:overflowPunct w:val="true"/>
              <w:spacing w:lineRule="auto" w:line="240" w:before="0" w:after="0"/>
              <w:jc w:val="left"/>
              <w:rPr>
                <w:highlight w:val="yellow"/>
              </w:rPr>
            </w:pPr>
            <w:r>
              <w:rPr>
                <w:rFonts w:eastAsia="Calibri" w:cs="" w:ascii="Marianne-Regular;serif" w:hAnsi="Marianne-Regular;serif" w:cstheme="minorBidi" w:eastAsiaTheme="minorHAnsi"/>
                <w:b w:val="false"/>
                <w:bCs w:val="false"/>
                <w:color w:val="000000"/>
                <w:sz w:val="20"/>
                <w:szCs w:val="20"/>
                <w:highlight w:val="yellow"/>
              </w:rPr>
              <w:t>BforCure conçoit et développe des solutions de bio-détection innovantes pour les secteurs de la sécurité et de la défense, de l’instrumentation scientifique, de l’environnement, de l’industrie ainsi que du diagnostic in vitro en santé humaine et vétérinaire. Sa solution innovante de bio-détection rapide par RT-PCR «</w:t>
            </w:r>
            <w:r>
              <w:rPr>
                <w:rFonts w:eastAsia="Calibri" w:cs="" w:ascii="Marianne" w:hAnsi="Marianne" w:cstheme="minorBidi" w:eastAsiaTheme="minorHAnsi"/>
                <w:b w:val="false"/>
                <w:bCs w:val="false"/>
                <w:color w:val="000000"/>
                <w:sz w:val="20"/>
                <w:szCs w:val="20"/>
                <w:highlight w:val="yellow"/>
              </w:rPr>
              <w:t> </w:t>
            </w:r>
            <w:r>
              <w:rPr>
                <w:rFonts w:eastAsia="Calibri" w:cs="" w:ascii="Marianne-Regular;serif" w:hAnsi="Marianne-Regular;serif" w:cstheme="minorBidi" w:eastAsiaTheme="minorHAnsi"/>
                <w:b w:val="false"/>
                <w:bCs w:val="false"/>
                <w:color w:val="000000"/>
                <w:sz w:val="20"/>
                <w:szCs w:val="20"/>
                <w:highlight w:val="yellow"/>
              </w:rPr>
              <w:t>Chronos</w:t>
            </w:r>
            <w:r>
              <w:rPr>
                <w:rFonts w:eastAsia="Calibri" w:cs="" w:ascii="Marianne" w:hAnsi="Marianne" w:cstheme="minorBidi" w:eastAsiaTheme="minorHAnsi"/>
                <w:b w:val="false"/>
                <w:bCs w:val="false"/>
                <w:color w:val="000000"/>
                <w:sz w:val="20"/>
                <w:szCs w:val="20"/>
                <w:highlight w:val="yellow"/>
              </w:rPr>
              <w:t> </w:t>
            </w:r>
            <w:r>
              <w:rPr>
                <w:rFonts w:eastAsia="Calibri" w:cs="" w:ascii="Marianne-Regular;serif" w:hAnsi="Marianne-Regular;serif" w:cstheme="minorBidi" w:eastAsiaTheme="minorHAnsi"/>
                <w:b w:val="false"/>
                <w:bCs w:val="false"/>
                <w:color w:val="000000"/>
                <w:sz w:val="20"/>
                <w:szCs w:val="20"/>
                <w:highlight w:val="yellow"/>
              </w:rPr>
              <w:t>»</w:t>
            </w:r>
            <w:r>
              <w:rPr>
                <w:rFonts w:eastAsia="Calibri" w:cs="" w:ascii="Marianne" w:hAnsi="Marianne" w:cstheme="minorBidi" w:eastAsiaTheme="minorHAnsi"/>
                <w:b w:val="false"/>
                <w:bCs w:val="false"/>
                <w:color w:val="000000"/>
                <w:sz w:val="20"/>
                <w:szCs w:val="20"/>
                <w:highlight w:val="yellow"/>
              </w:rPr>
              <w:t xml:space="preserve"> </w:t>
            </w:r>
            <w:r>
              <w:rPr>
                <w:rFonts w:eastAsia="Calibri" w:cs="" w:ascii="Marianne-Regular;serif" w:hAnsi="Marianne-Regular;serif" w:cstheme="minorBidi" w:eastAsiaTheme="minorHAnsi"/>
                <w:b w:val="false"/>
                <w:bCs w:val="false"/>
                <w:color w:val="000000"/>
                <w:sz w:val="20"/>
                <w:szCs w:val="20"/>
                <w:highlight w:val="yellow"/>
              </w:rPr>
              <w:t xml:space="preserve">permettra l’implantation d’automates de dépistage sur le territoire national, et directement sur les sites de prélèvement, avec un résultat en moins de 20 minutes (avec une fiabilité de 95%), à partir de prélèvements nasopharyngés et salivaires. </w:t>
            </w:r>
          </w:p>
          <w:p>
            <w:pPr>
              <w:pStyle w:val="Corpsdetexte"/>
              <w:spacing w:before="0" w:after="0"/>
              <w:rPr>
                <w:highlight w:val="yellow"/>
              </w:rPr>
            </w:pPr>
            <w:r>
              <w:rPr>
                <w:rFonts w:ascii="Marianne-Regular;serif" w:hAnsi="Marianne-Regular;serif"/>
                <w:color w:val="000000"/>
                <w:sz w:val="20"/>
                <w:highlight w:val="yellow"/>
              </w:rPr>
              <w:t>Le soutien du plan de relance, à hauteur de 960</w:t>
            </w:r>
            <w:r>
              <w:rPr>
                <w:color w:val="000000"/>
                <w:highlight w:val="yellow"/>
              </w:rPr>
              <w:t> </w:t>
            </w:r>
            <w:r>
              <w:rPr>
                <w:rFonts w:ascii="Marianne-Regular;serif" w:hAnsi="Marianne-Regular;serif"/>
                <w:color w:val="000000"/>
                <w:sz w:val="20"/>
                <w:highlight w:val="yellow"/>
              </w:rPr>
              <w:t>000 euros, va accompagner le renforcement des unités de production de BforCure destinées aux industries de santé, notamment d’automates de diagnostic par biologie moléculaire. Il doit favoriser l’accélération des cadences, pour un déploiement rapide de la solution «</w:t>
            </w:r>
            <w:r>
              <w:rPr>
                <w:color w:val="000000"/>
                <w:highlight w:val="yellow"/>
              </w:rPr>
              <w:t> </w:t>
            </w:r>
            <w:r>
              <w:rPr>
                <w:rFonts w:ascii="Marianne-Regular;serif" w:hAnsi="Marianne-Regular;serif"/>
                <w:color w:val="000000"/>
                <w:sz w:val="20"/>
                <w:highlight w:val="yellow"/>
              </w:rPr>
              <w:t>Chronos</w:t>
            </w:r>
            <w:r>
              <w:rPr>
                <w:color w:val="000000"/>
                <w:highlight w:val="yellow"/>
              </w:rPr>
              <w:t> </w:t>
            </w:r>
            <w:r>
              <w:rPr>
                <w:rFonts w:ascii="Marianne-Regular;serif" w:hAnsi="Marianne-Regular;serif"/>
                <w:color w:val="000000"/>
                <w:sz w:val="20"/>
                <w:highlight w:val="yellow"/>
              </w:rPr>
              <w:t>», déjà présente à l’aéroport de Marseille, en France et à l’export. Jusqu’à 100 emplois pourraient être créés à l’horizon 2022 sur le site de Montreuil où l’entreprise continue de développer son activité.</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00000A"/>
                <w:sz w:val="20"/>
                <w:szCs w:val="20"/>
              </w:rPr>
            </w:pPr>
            <w:r>
              <w:rPr/>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06_2192117215"/>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highlight w:val="yellow"/>
              </w:rPr>
              <w:t>67</w:t>
            </w:r>
            <w:r>
              <w:rPr>
                <w:rFonts w:cs="Arial" w:ascii="Marianne" w:hAnsi="Marianne"/>
                <w:sz w:val="20"/>
                <w:szCs w:val="20"/>
                <w:highlight w:val="yellow"/>
              </w:rPr>
              <w:t>8</w:t>
            </w:r>
            <w:r>
              <w:rPr>
                <w:rFonts w:cs="Arial" w:ascii="Marianne" w:hAnsi="Marianne"/>
                <w:sz w:val="20"/>
                <w:szCs w:val="20"/>
              </w:rPr>
              <w:t xml:space="preserve"> (8%)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551 (8%)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401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bookmarkEnd w:id="21"/>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8 561 (17%)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6 655 (17%)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4 669 (17%)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highlight w:val="yellow"/>
              </w:rPr>
            </w:pPr>
            <w:r>
              <w:rPr>
                <w:rFonts w:eastAsia="Calibri" w:cs="" w:ascii="Marianne" w:hAnsi="Marianne" w:cstheme="minorBidi" w:eastAsiaTheme="minorHAnsi"/>
                <w:b w:val="false"/>
                <w:bCs w:val="false"/>
                <w:color w:val="00000A"/>
                <w:sz w:val="20"/>
                <w:szCs w:val="20"/>
                <w:highlight w:val="yellow"/>
              </w:rPr>
              <w:t xml:space="preserve">  </w:t>
            </w:r>
            <w:r>
              <w:rPr>
                <w:rFonts w:eastAsia="Calibri" w:cs="" w:ascii="Calibri;sans-serif" w:hAnsi="Calibri;sans-serif" w:cstheme="minorBidi" w:eastAsiaTheme="minorHAnsi"/>
                <w:b w:val="false"/>
                <w:bCs w:val="false"/>
                <w:color w:val="00000A"/>
                <w:sz w:val="20"/>
                <w:szCs w:val="20"/>
                <w:highlight w:val="yellow"/>
              </w:rPr>
              <w:t>-</w:t>
            </w:r>
            <w:r>
              <w:rPr>
                <w:rFonts w:eastAsia="Calibri" w:cs="" w:ascii="Calibri;sans-serif" w:hAnsi="Calibri;sans-serif" w:cstheme="minorBidi" w:eastAsiaTheme="minorHAnsi"/>
                <w:b w:val="false"/>
                <w:bCs w:val="false"/>
                <w:caps w:val="false"/>
                <w:smallCaps w:val="false"/>
                <w:color w:val="00000A"/>
                <w:sz w:val="20"/>
                <w:szCs w:val="20"/>
                <w:highlight w:val="yellow"/>
              </w:rPr>
              <w:t xml:space="preserve">          </w:t>
            </w:r>
            <w:r>
              <w:rPr>
                <w:rFonts w:eastAsia="Calibri" w:cs="" w:ascii="Marianne" w:hAnsi="Marianne" w:cstheme="minorBidi" w:eastAsiaTheme="minorHAnsi"/>
                <w:b w:val="false"/>
                <w:bCs w:val="false"/>
                <w:color w:val="00000A"/>
                <w:sz w:val="20"/>
                <w:szCs w:val="20"/>
                <w:highlight w:val="yellow"/>
              </w:rPr>
              <w:t>259 entreprises dionysiennes ont pu réaliser un diagnostic numérique gratuit et être accompagnées dans la construction d’un plan d’actions.</w:t>
            </w:r>
          </w:p>
          <w:p>
            <w:pPr>
              <w:pStyle w:val="Corpsdetexte"/>
              <w:ind w:left="360" w:right="0" w:hanging="360"/>
              <w:rPr>
                <w:highlight w:val="yellow"/>
              </w:rPr>
            </w:pPr>
            <w:r>
              <w:rPr>
                <w:rFonts w:ascii="Calibri;sans-serif" w:hAnsi="Calibri;sans-serif"/>
                <w:highlight w:val="yellow"/>
              </w:rPr>
              <w:t>-</w:t>
            </w:r>
            <w:r>
              <w:rPr>
                <w:rFonts w:ascii="Calibri;sans-serif" w:hAnsi="Calibri;sans-serif"/>
                <w:caps w:val="false"/>
                <w:smallCaps w:val="false"/>
                <w:highlight w:val="yellow"/>
              </w:rPr>
              <w:t xml:space="preserve">          </w:t>
            </w:r>
            <w:r>
              <w:rPr>
                <w:highlight w:val="yellow"/>
              </w:rPr>
              <w:t xml:space="preserve">419 chèques numériques pour un montant cumulé de 178 500 euros ont permis l’achat de prestations d’accompagnement et l’achat de solutions de vente numériques permettant de s’adapter à de nouveaux modes de consommation. </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00000A"/>
                <w:sz w:val="20"/>
                <w:szCs w:val="20"/>
              </w:rPr>
            </w:pPr>
            <w:r>
              <w:rPr/>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08_2192117215"/>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 (12%)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 (13%)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bookmarkEnd w:id="23"/>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111 (5%)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68 (7%)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p>
    <w:p>
      <w:pPr>
        <w:pStyle w:val="Customstyle2"/>
        <w:rPr/>
      </w:pPr>
      <w:r>
        <w:rPr/>
      </w:r>
    </w:p>
    <w:p>
      <w:pPr>
        <w:pStyle w:val="Customstyle2"/>
        <w:rPr/>
      </w:pPr>
      <w:r>
        <w:rPr/>
      </w:r>
    </w:p>
    <w:p>
      <w:pPr>
        <w:pStyle w:val="Customstyle2"/>
        <w:rPr/>
      </w:pPr>
      <w:r>
        <w:rPr/>
      </w:r>
    </w:p>
    <w:p>
      <w:pPr>
        <w:pStyle w:val="Customstyle2"/>
        <w:rPr/>
      </w:pPr>
      <w:r>
        <w:rPr/>
      </w:r>
    </w:p>
    <w:p>
      <w:pPr>
        <w:pStyle w:val="Corpsdetexte"/>
        <w:rPr>
          <w:sz w:val="24"/>
          <w:szCs w:val="24"/>
          <w:highlight w:val="yellow"/>
        </w:rPr>
      </w:pPr>
      <w:r>
        <w:rPr>
          <w:sz w:val="24"/>
          <w:szCs w:val="24"/>
          <w:highlight w:val="yellow"/>
        </w:rPr>
        <w:t xml:space="preserve">47 entreprises  </w:t>
      </w:r>
      <w:r>
        <w:rPr>
          <w:sz w:val="24"/>
          <w:szCs w:val="24"/>
          <w:highlight w:val="yellow"/>
        </w:rPr>
        <w:t>avaient</w:t>
      </w:r>
      <w:r>
        <w:rPr>
          <w:sz w:val="24"/>
          <w:szCs w:val="24"/>
          <w:highlight w:val="yellow"/>
        </w:rPr>
        <w:t xml:space="preserve"> déjà reçu </w:t>
      </w:r>
      <w:r>
        <w:rPr>
          <w:sz w:val="24"/>
          <w:szCs w:val="24"/>
          <w:highlight w:val="yellow"/>
        </w:rPr>
        <w:t>en juillet 2021</w:t>
      </w:r>
      <w:r>
        <w:rPr>
          <w:sz w:val="24"/>
          <w:szCs w:val="24"/>
          <w:highlight w:val="yellow"/>
        </w:rPr>
        <w:t xml:space="preserve"> une subvention du guichet « industrie du futur » pour moderniser et digitaliser leurs outils de production, pour un montant cumulé de 3,2 millions d’euros.</w:t>
      </w:r>
    </w:p>
    <w:p>
      <w:pPr>
        <w:pStyle w:val="Customstyle2"/>
        <w:rPr>
          <w:sz w:val="24"/>
          <w:szCs w:val="24"/>
        </w:rPr>
      </w:pPr>
      <w:r>
        <w:rPr>
          <w:sz w:val="24"/>
          <w:szCs w:val="24"/>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10_2192117215"/>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28 (4%)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25 (4%)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20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bookmarkEnd w:id="25"/>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661 (21%)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568 (21%)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474 (22%)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highlight w:val="yellow"/>
              </w:rPr>
            </w:pPr>
            <w:r>
              <w:rPr>
                <w:rFonts w:eastAsia="Calibri" w:cs="" w:ascii="Marianne" w:hAnsi="Marianne" w:cstheme="minorBidi" w:eastAsiaTheme="minorHAnsi"/>
                <w:b w:val="false"/>
                <w:bCs w:val="false"/>
                <w:color w:val="00000A"/>
                <w:sz w:val="20"/>
                <w:szCs w:val="20"/>
                <w:highlight w:val="yellow"/>
              </w:rPr>
              <w:t xml:space="preserve">  </w:t>
            </w:r>
            <w:r>
              <w:rPr>
                <w:rFonts w:eastAsia="Calibri" w:cs="" w:ascii="Calibri;sans-serif" w:hAnsi="Calibri;sans-serif" w:cstheme="minorBidi" w:eastAsiaTheme="minorHAnsi"/>
                <w:b w:val="false"/>
                <w:bCs w:val="false"/>
                <w:color w:val="00000A"/>
                <w:sz w:val="20"/>
                <w:szCs w:val="20"/>
                <w:highlight w:val="yellow"/>
              </w:rPr>
              <w:t>-</w:t>
            </w:r>
            <w:r>
              <w:rPr>
                <w:rFonts w:eastAsia="Calibri" w:cs="" w:ascii="Calibri;sans-serif" w:hAnsi="Calibri;sans-serif" w:cstheme="minorBidi" w:eastAsiaTheme="minorHAnsi"/>
                <w:b w:val="false"/>
                <w:bCs w:val="false"/>
                <w:caps w:val="false"/>
                <w:smallCaps w:val="false"/>
                <w:color w:val="00000A"/>
                <w:sz w:val="20"/>
                <w:szCs w:val="20"/>
                <w:highlight w:val="yellow"/>
              </w:rPr>
              <w:t xml:space="preserve">          </w:t>
            </w:r>
            <w:r>
              <w:rPr>
                <w:rFonts w:eastAsia="Calibri" w:cs="" w:ascii="Marianne" w:hAnsi="Marianne" w:cstheme="minorBidi" w:eastAsiaTheme="minorHAnsi"/>
                <w:b w:val="false"/>
                <w:bCs w:val="false"/>
                <w:color w:val="00000A"/>
                <w:sz w:val="20"/>
                <w:szCs w:val="20"/>
                <w:highlight w:val="yellow"/>
              </w:rPr>
              <w:t xml:space="preserve">28 entreprises séquano-dionysiennes ont bénéficié des « chèques export » et « chèques VIE » de France Relance via la CCI, pour continuer à prospecter à l’international. </w:t>
            </w:r>
          </w:p>
          <w:p>
            <w:pPr>
              <w:pStyle w:val="Corpsdetexte"/>
              <w:spacing w:lineRule="auto" w:line="256" w:before="0" w:after="160"/>
              <w:ind w:left="360" w:right="0" w:hanging="360"/>
              <w:rPr/>
            </w:pPr>
            <w:r>
              <w:rPr>
                <w:rFonts w:ascii="Calibri;sans-serif" w:hAnsi="Calibri;sans-serif"/>
                <w:highlight w:val="yellow"/>
              </w:rPr>
              <w:t>-</w:t>
            </w:r>
            <w:r>
              <w:rPr>
                <w:rFonts w:ascii="Calibri;sans-serif" w:hAnsi="Calibri;sans-serif"/>
                <w:caps w:val="false"/>
                <w:smallCaps w:val="false"/>
                <w:highlight w:val="yellow"/>
              </w:rPr>
              <w:t>         </w:t>
            </w:r>
            <w:r>
              <w:rPr>
                <w:rFonts w:ascii="Calibri;sans-serif" w:hAnsi="Calibri;sans-serif"/>
                <w:caps w:val="false"/>
                <w:smallCaps w:val="false"/>
                <w:highlight w:val="yellow"/>
              </w:rPr>
              <w:t>A noter également que d</w:t>
            </w:r>
            <w:r>
              <w:rPr>
                <w:highlight w:val="yellow"/>
              </w:rPr>
              <w:t>epuis 2020, 39 entreprises ont bénéficié du renforcement des moyens de l’assurance-prospection, pour sécuriser leurs trésoreries et poursuivre les actions de prospection</w:t>
            </w:r>
            <w:r>
              <w:rPr/>
              <w:t>.</w:t>
            </w:r>
          </w:p>
          <w:p>
            <w:pPr>
              <w:pStyle w:val="Contenudecadre"/>
              <w:overflowPunct w:val="true"/>
              <w:spacing w:lineRule="auto" w:line="240" w:before="0" w:after="0"/>
              <w:jc w:val="left"/>
              <w:rPr>
                <w:rFonts w:ascii="Marianne" w:hAnsi="Marianne" w:eastAsia="Calibri" w:cs="" w:cstheme="minorBidi" w:eastAsiaTheme="minorHAnsi"/>
                <w:b w:val="false"/>
                <w:b w:val="false"/>
                <w:bCs w:val="false"/>
                <w:color w:val="00000A"/>
                <w:sz w:val="20"/>
                <w:szCs w:val="20"/>
              </w:rPr>
            </w:pPr>
            <w:r>
              <w:rPr/>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12_2192117215"/>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51 (8%)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51 (8%)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bookmarkEnd w:id="27"/>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667 (17%)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656 (17%)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p>
    <w:p>
      <w:pPr>
        <w:pStyle w:val="Customstyle2"/>
        <w:rPr/>
      </w:pPr>
      <w:r>
        <w:rPr/>
      </w:r>
    </w:p>
    <w:p>
      <w:pPr>
        <w:pStyle w:val="Customstyle2"/>
        <w:rPr/>
      </w:pPr>
      <w:r>
        <w:rPr/>
      </w:r>
    </w:p>
    <w:p>
      <w:pPr>
        <w:pStyle w:val="Corpsdetexte"/>
        <w:ind w:left="360" w:right="0" w:hanging="360"/>
        <w:rPr>
          <w:sz w:val="24"/>
          <w:szCs w:val="24"/>
          <w:highlight w:val="yellow"/>
        </w:rPr>
      </w:pPr>
      <w:r>
        <w:rPr>
          <w:sz w:val="24"/>
          <w:szCs w:val="24"/>
          <w:highlight w:val="yellow"/>
        </w:rPr>
        <w:t>En juillet 2021 :</w:t>
      </w:r>
    </w:p>
    <w:p>
      <w:pPr>
        <w:pStyle w:val="Customstyle2"/>
        <w:rPr>
          <w:highlight w:val="yellow"/>
        </w:rPr>
      </w:pPr>
      <w:r>
        <w:rPr>
          <w:highlight w:val="yellow"/>
        </w:rPr>
      </w:r>
    </w:p>
    <w:p>
      <w:pPr>
        <w:pStyle w:val="Customstyle2"/>
        <w:rPr>
          <w:highlight w:val="yellow"/>
        </w:rPr>
      </w:pPr>
      <w:r>
        <w:rPr>
          <w:highlight w:val="yellow"/>
        </w:rPr>
      </w:r>
    </w:p>
    <w:p>
      <w:pPr>
        <w:pStyle w:val="Corpsdetexte"/>
        <w:rPr>
          <w:sz w:val="24"/>
          <w:szCs w:val="24"/>
          <w:highlight w:val="yellow"/>
        </w:rPr>
      </w:pPr>
      <w:r>
        <w:rPr>
          <w:rFonts w:ascii="Calibri;sans-serif" w:hAnsi="Calibri;sans-serif"/>
          <w:sz w:val="24"/>
          <w:szCs w:val="24"/>
          <w:highlight w:val="yellow"/>
        </w:rPr>
        <w:t>-</w:t>
      </w:r>
      <w:r>
        <w:rPr>
          <w:rFonts w:ascii="Calibri;sans-serif" w:hAnsi="Calibri;sans-serif"/>
          <w:caps w:val="false"/>
          <w:smallCaps w:val="false"/>
          <w:sz w:val="24"/>
          <w:szCs w:val="24"/>
          <w:highlight w:val="yellow"/>
        </w:rPr>
        <w:t xml:space="preserve">          </w:t>
      </w:r>
      <w:r>
        <w:rPr>
          <w:sz w:val="24"/>
          <w:szCs w:val="24"/>
          <w:highlight w:val="yellow"/>
        </w:rPr>
        <w:t>21 acteurs culturels du département - librairies, opérateurs de médiation culturelle, filière cinéma – ont été accompagnés.</w:t>
      </w:r>
    </w:p>
    <w:p>
      <w:pPr>
        <w:pStyle w:val="Corpsdetexte"/>
        <w:ind w:left="360" w:right="0" w:hanging="360"/>
        <w:rPr>
          <w:highlight w:val="yellow"/>
        </w:rPr>
      </w:pPr>
      <w:r>
        <w:rPr>
          <w:rFonts w:ascii="Calibri;sans-serif" w:hAnsi="Calibri;sans-serif"/>
          <w:highlight w:val="yellow"/>
        </w:rPr>
        <w:t>-</w:t>
      </w:r>
      <w:r>
        <w:rPr>
          <w:rFonts w:ascii="Calibri;sans-serif" w:hAnsi="Calibri;sans-serif"/>
          <w:caps w:val="false"/>
          <w:smallCaps w:val="false"/>
          <w:highlight w:val="yellow"/>
        </w:rPr>
        <w:t xml:space="preserve">          </w:t>
      </w:r>
      <w:r>
        <w:rPr>
          <w:highlight w:val="yellow"/>
        </w:rPr>
        <w:t xml:space="preserve">40 projets sont aidés pour favoriser la relance de la création, avec un soutien particulier à la programmation des institutions du spectacle vivant (musique, danse, cirque…) – 920k € </w:t>
      </w:r>
    </w:p>
    <w:p>
      <w:pPr>
        <w:pStyle w:val="Corpsdetexte"/>
        <w:ind w:left="360" w:right="0" w:hanging="360"/>
        <w:rPr>
          <w:highlight w:val="yellow"/>
        </w:rPr>
      </w:pPr>
      <w:r>
        <w:rPr>
          <w:rFonts w:ascii="Calibri;sans-serif" w:hAnsi="Calibri;sans-serif"/>
          <w:highlight w:val="yellow"/>
        </w:rPr>
        <w:t>-</w:t>
      </w:r>
      <w:r>
        <w:rPr>
          <w:rFonts w:ascii="Calibri;sans-serif" w:hAnsi="Calibri;sans-serif"/>
          <w:caps w:val="false"/>
          <w:smallCaps w:val="false"/>
          <w:highlight w:val="yellow"/>
        </w:rPr>
        <w:t xml:space="preserve">          </w:t>
      </w:r>
      <w:r>
        <w:rPr>
          <w:highlight w:val="yellow"/>
        </w:rPr>
        <w:t>Plusieurs monuments emblém</w:t>
      </w:r>
      <w:r>
        <w:rPr>
          <w:highlight w:val="yellow"/>
        </w:rPr>
        <w:t>atiques du territoire bénéficient d’une rénovation, notamment : à Saint-Denis, la basilique-cathédrale et l’ancien siège de L’Humanité conçu par Oscar Niemeyer ; le Centre national de la Danse et l’église Saint-Germain à Pantin...</w:t>
      </w:r>
    </w:p>
    <w:p>
      <w:pPr>
        <w:pStyle w:val="Corpsdetexte"/>
        <w:ind w:left="360" w:right="0" w:hanging="360"/>
        <w:rPr>
          <w:highlight w:val="yellow"/>
        </w:rPr>
      </w:pPr>
      <w:r>
        <w:rPr>
          <w:rFonts w:ascii="Calibri;sans-serif" w:hAnsi="Calibri;sans-serif"/>
          <w:highlight w:val="yellow"/>
        </w:rPr>
        <w:t>-</w:t>
      </w:r>
      <w:r>
        <w:rPr>
          <w:rFonts w:ascii="Calibri;sans-serif" w:hAnsi="Calibri;sans-serif"/>
          <w:caps w:val="false"/>
          <w:smallCaps w:val="false"/>
          <w:highlight w:val="yellow"/>
        </w:rPr>
        <w:t xml:space="preserve">          </w:t>
      </w:r>
      <w:r>
        <w:rPr>
          <w:highlight w:val="yellow"/>
        </w:rPr>
        <w:t>400 000 euros soutiennent l’investissement du réseau de médiathèques du territoire de Plaine Commune.</w:t>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14_2192117215"/>
      <w:bookmarkEnd w:id="28"/>
      <w:r>
        <w:rPr>
          <w:rFonts w:ascii="Marianne" w:hAnsi="Marianne"/>
          <w:sz w:val="48"/>
          <w:szCs w:val="48"/>
        </w:rPr>
        <w:t>Volet 3 : Cohésion</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rFonts w:cstheme="minorBidi" w:eastAsiaTheme="minorHAnsi"/>
                <w:highlight w:val="yellow"/>
              </w:rPr>
            </w:pPr>
            <w:r>
              <w:rPr>
                <w:rFonts w:eastAsia="Calibri" w:cs="" w:cstheme="minorBidi" w:eastAsiaTheme="minorHAnsi" w:ascii="Marianne" w:hAnsi="Marianne"/>
                <w:b w:val="false"/>
                <w:bCs w:val="false"/>
                <w:color w:val="00000A"/>
                <w:sz w:val="20"/>
                <w:szCs w:val="20"/>
                <w:highlight w:val="yellow"/>
              </w:rPr>
              <w:t>148 millions d’euros en juillet 2021</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16_2192117215"/>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9 437 (9%)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8 684 (9%)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7 672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bookmarkEnd w:id="30"/>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99 772 (22%)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92 377 (21%)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84 022 (21%)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18_2192117215"/>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225 (12%)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173 (14%)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131 (15%)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bookmarkEnd w:id="32"/>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1 857 (10%)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1 276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857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20_2192117215"/>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1 200 (9%)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1 076 (9%)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914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bookmarkEnd w:id="34"/>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13 755 (29%)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12 296 (29%)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10 797 (28%)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22_2192117215"/>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2 147 (23%)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1 748 (23%)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1 559 (24%)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bookmarkEnd w:id="36"/>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9 493 (11%)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7 704 (11%)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6 490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p>
    <w:p>
      <w:pPr>
        <w:pStyle w:val="Customstyle2"/>
        <w:rPr/>
      </w:pPr>
      <w:r>
        <w:rPr/>
      </w:r>
    </w:p>
    <w:p>
      <w:pPr>
        <w:pStyle w:val="Customstyle2"/>
        <w:rPr/>
      </w:pPr>
      <w:r>
        <w:rPr/>
      </w:r>
    </w:p>
    <w:p>
      <w:pPr>
        <w:pStyle w:val="Customstyle2"/>
        <w:rPr/>
      </w:pPr>
      <w:r>
        <w:rPr/>
      </w:r>
    </w:p>
    <w:p>
      <w:pPr>
        <w:pStyle w:val="Customstyle2"/>
        <w:rPr>
          <w:rFonts w:asciiTheme="minorHAnsi" w:cstheme="minorBidi" w:eastAsiaTheme="minorHAnsi" w:hAnsiTheme="minorHAnsi"/>
          <w:highlight w:val="yellow"/>
        </w:rPr>
      </w:pPr>
      <w:r>
        <w:rPr>
          <w:rFonts w:asciiTheme="minorHAnsi" w:cstheme="minorBidi" w:eastAsiaTheme="minorHAnsi" w:hAnsiTheme="minorHAnsi" w:ascii="Calibri;sans-serif" w:hAnsi="Calibri;sans-serif"/>
          <w:sz w:val="22"/>
          <w:szCs w:val="24"/>
          <w:highlight w:val="yellow"/>
        </w:rPr>
        <w:t>3 917 entrées en garantie jeune</w:t>
      </w:r>
      <w:r>
        <w:rPr>
          <w:rFonts w:asciiTheme="minorHAnsi" w:cstheme="minorBidi" w:eastAsiaTheme="minorHAnsi" w:hAnsiTheme="minorHAnsi"/>
          <w:sz w:val="24"/>
          <w:szCs w:val="24"/>
          <w:highlight w:val="yellow"/>
        </w:rPr>
        <w:t xml:space="preserve"> </w:t>
      </w:r>
      <w:r>
        <w:rPr>
          <w:rFonts w:asciiTheme="minorHAnsi" w:cstheme="minorBidi" w:eastAsiaTheme="minorHAnsi" w:hAnsiTheme="minorHAnsi"/>
          <w:sz w:val="24"/>
          <w:szCs w:val="24"/>
          <w:highlight w:val="yellow"/>
        </w:rPr>
        <w:t>en juillet 2021</w:t>
      </w:r>
    </w:p>
    <w:p>
      <w:pPr>
        <w:pStyle w:val="Customstyle2"/>
        <w:rPr>
          <w:rFonts w:ascii="Calibri;sans-serif" w:hAnsi="Calibri;sans-serif"/>
          <w:sz w:val="22"/>
        </w:rPr>
      </w:pPr>
      <w:r>
        <w:rPr>
          <w:sz w:val="24"/>
          <w:szCs w:val="24"/>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24_2192117215"/>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155 (15%)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132 (16%)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112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bookmarkEnd w:id="38"/>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1 004 (6%)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844 (6%)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704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26_2192117215"/>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5 431 (8%)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4 706 (8%)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3 949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bookmarkEnd w:id="40"/>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68 785 (18%)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59 468 (19%)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53 420 (19%)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p>
    <w:p>
      <w:pPr>
        <w:pStyle w:val="Customstyle2"/>
        <w:rPr>
          <w:highlight w:val="yellow"/>
        </w:rPr>
      </w:pPr>
      <w:r>
        <w:rPr>
          <w:highlight w:val="yellow"/>
        </w:rPr>
      </w:r>
    </w:p>
    <w:p>
      <w:pPr>
        <w:pStyle w:val="Customstyle2"/>
        <w:rPr>
          <w:highlight w:val="yellow"/>
        </w:rPr>
      </w:pPr>
      <w:r>
        <w:rPr>
          <w:highlight w:val="yellow"/>
        </w:rPr>
      </w:r>
    </w:p>
    <w:p>
      <w:pPr>
        <w:pStyle w:val="Corpsdetexte"/>
        <w:rPr>
          <w:sz w:val="24"/>
          <w:szCs w:val="24"/>
          <w:highlight w:val="yellow"/>
        </w:rPr>
      </w:pPr>
      <w:r>
        <w:rPr>
          <w:rFonts w:ascii="Calibri;sans-serif" w:hAnsi="Calibri;sans-serif"/>
          <w:caps w:val="false"/>
          <w:smallCaps w:val="false"/>
          <w:sz w:val="24"/>
          <w:szCs w:val="24"/>
          <w:highlight w:val="yellow"/>
        </w:rPr>
        <w:t xml:space="preserve">En juillet 2021 : </w:t>
      </w:r>
      <w:r>
        <w:rPr>
          <w:rFonts w:ascii="Calibri;sans-serif" w:hAnsi="Calibri;sans-serif"/>
          <w:caps w:val="false"/>
          <w:smallCaps w:val="false"/>
          <w:sz w:val="24"/>
          <w:szCs w:val="24"/>
          <w:highlight w:val="yellow"/>
        </w:rPr>
        <w:t xml:space="preserve"> </w:t>
      </w:r>
      <w:r>
        <w:rPr>
          <w:sz w:val="24"/>
          <w:szCs w:val="24"/>
          <w:highlight w:val="yellow"/>
        </w:rPr>
        <w:t>6 842 demandes d’aides à l’emploi des jeunes ont été déposées par les entreprises du département.</w:t>
      </w:r>
    </w:p>
    <w:p>
      <w:pPr>
        <w:pStyle w:val="Customstyle2"/>
        <w:rPr>
          <w:sz w:val="24"/>
          <w:szCs w:val="24"/>
        </w:rPr>
      </w:pPr>
      <w:r>
        <w:rPr>
          <w:sz w:val="24"/>
          <w:szCs w:val="24"/>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28_2192117215"/>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119 (11%)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98 (11%)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84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bookmarkEnd w:id="42"/>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1 128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932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785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30_2192117215"/>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Seine-Saint-Denis</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1 787 (15%)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1 787 (15%)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1 552 (15%)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bookmarkEnd w:id="44"/>
            <w:r>
              <w:rPr>
                <w:rFonts w:ascii="Marianne" w:hAnsi="Marianne"/>
                <w:b/>
                <w:bCs/>
                <w:sz w:val="20"/>
                <w:szCs w:val="20"/>
              </w:rPr>
              <w:t>: Île-de-France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11 979 (15%)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11 979 (15%)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10 541 (15%)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arianne-Regular">
    <w:altName w:val="serif"/>
    <w:charset w:val="00"/>
    <w:family w:val="auto"/>
    <w:pitch w:val="default"/>
  </w:font>
  <w:font w:name="Calibri">
    <w:altName w:val="sans-serif"/>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31">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48" y="0"/>
              <wp:lineTo x="-648" y="20664"/>
              <wp:lineTo x="20555" y="20664"/>
              <wp:lineTo x="20555" y="0"/>
              <wp:lineTo x="-648"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61">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98" y="0"/>
              <wp:lineTo x="-1298" y="19245"/>
              <wp:lineTo x="20049" y="19245"/>
              <wp:lineTo x="20049" y="0"/>
              <wp:lineTo x="-1298"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00000A"/>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00000A"/>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LibreOffice/5.4.7.2.M6$Windows_X86_64 LibreOffice_project/84cdc5b975a208eecf96cb73014f465650380623</Application>
  <Pages>30</Pages>
  <Words>3792</Words>
  <Characters>19542</Characters>
  <CharactersWithSpaces>23615</CharactersWithSpaces>
  <Paragraphs>724</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2021-07-16T17:32:31Z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