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 xml:space="preserve">SUIVI TERRITORIAL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 xml:space="preserve">DU PLAN RELANCE</w:t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Seine-et-Marne</w:t>
      </w:r>
      <w:r/>
    </w:p>
    <w:p>
      <w:pPr>
        <w:pStyle w:val="849"/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2021-04-28</w:t>
      </w:r>
      <w:r/>
    </w:p>
    <w:p>
      <w:pPr>
        <w:pStyle w:val="849"/>
        <w:jc w:val="left"/>
        <w:spacing w:lineRule="auto" w:line="259" w:after="160" w:before="0"/>
        <w:widowControl/>
      </w:pPr>
      <w:r>
        <w:br w:type="page"/>
      </w:r>
      <w:r/>
    </w:p>
    <w:p>
      <w:pPr>
        <w:pStyle w:val="849"/>
        <w:jc w:val="left"/>
        <w:spacing w:lineRule="auto" w:line="259" w:after="160" w:before="0"/>
        <w:widowControl/>
      </w:pPr>
      <w:r/>
      <w:r/>
    </w:p>
    <w:p>
      <w:pPr>
        <w:pStyle w:val="849"/>
        <w:jc w:val="left"/>
        <w:spacing w:lineRule="auto" w:line="259" w:after="160" w:before="0"/>
        <w:widowControl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w:rPr>
          <w:b/>
          <w:bCs/>
          <w:sz w:val="50"/>
          <w:szCs w:val="50"/>
        </w:rPr>
        <w:t xml:space="preserve">Sommaire</w:t>
      </w:r>
      <w:r/>
    </w:p>
    <w:tbl>
      <w:tblPr>
        <w:tblW w:w="9072" w:type="dxa"/>
        <w:tblInd w:w="0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  <w:gridCol w:w="566"/>
      </w:tblGrid>
      <w:tr>
        <w:trPr/>
        <w:tc>
          <w:tcPr>
            <w:shd w:val="clear" w:color="auto" w:fill="auto"/>
            <w:tcW w:w="8505" w:type="dxa"/>
            <w:textDirection w:val="lrTb"/>
            <w:noWrap w:val="false"/>
          </w:tcPr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Assurance prospection 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des jeunes 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Initiatives Emploi (CIE) Jeunes 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Garantie jeunes ---------------------------------------------------------------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Parcours emploi compétences (PEC) Jeunes -------------------------</w:t>
            </w:r>
            <w:r/>
          </w:p>
          <w:p>
            <w:pPr>
              <w:pStyle w:val="849"/>
              <w:jc w:val="both"/>
              <w:spacing w:lineRule="auto" w:line="259" w:after="160" w:before="0"/>
              <w:widowControl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Service civique ----------------------------------------------------------------</w:t>
            </w:r>
            <w:r/>
          </w:p>
        </w:tc>
        <w:tc>
          <w:tcPr>
            <w:shd w:val="clear" w:color="auto" w:fill="auto"/>
            <w:tcW w:w="566" w:type="dxa"/>
            <w:textDirection w:val="lrTb"/>
            <w:noWrap w:val="false"/>
          </w:tcPr>
          <w:p>
            <w:pPr>
              <w:pStyle w:val="869"/>
              <w:spacing w:lineRule="atLeast" w:line="320"/>
            </w:pPr>
            <w:r>
              <w:t xml:space="preserve">2</w:t>
            </w:r>
            <w:r/>
          </w:p>
          <w:p>
            <w:pPr>
              <w:pStyle w:val="869"/>
              <w:spacing w:lineRule="atLeast" w:line="320"/>
            </w:pPr>
            <w:r>
              <w:t xml:space="preserve">3</w:t>
            </w:r>
            <w:r/>
          </w:p>
          <w:p>
            <w:pPr>
              <w:pStyle w:val="869"/>
              <w:spacing w:lineRule="atLeast" w:line="320"/>
            </w:pPr>
            <w:r>
              <w:t xml:space="preserve">4</w:t>
            </w:r>
            <w:r/>
          </w:p>
          <w:p>
            <w:pPr>
              <w:pStyle w:val="869"/>
              <w:spacing w:lineRule="atLeast" w:line="320"/>
            </w:pPr>
            <w:r>
              <w:t xml:space="preserve">5</w:t>
            </w:r>
            <w:r/>
          </w:p>
          <w:p>
            <w:pPr>
              <w:pStyle w:val="869"/>
              <w:spacing w:lineRule="atLeast" w:line="320"/>
            </w:pPr>
            <w:r>
              <w:t xml:space="preserve">6</w:t>
            </w:r>
            <w:r/>
          </w:p>
          <w:p>
            <w:pPr>
              <w:pStyle w:val="869"/>
              <w:spacing w:lineRule="atLeast" w:line="320"/>
            </w:pPr>
            <w:r>
              <w:t xml:space="preserve">7</w:t>
            </w:r>
            <w:r/>
          </w:p>
          <w:p>
            <w:pPr>
              <w:pStyle w:val="869"/>
              <w:spacing w:lineRule="atLeast" w:line="320"/>
            </w:pPr>
            <w:r>
              <w:t xml:space="preserve">8</w:t>
            </w:r>
            <w:r/>
          </w:p>
          <w:p>
            <w:pPr>
              <w:pStyle w:val="869"/>
              <w:spacing w:lineRule="atLeast" w:line="320"/>
            </w:pPr>
            <w:r>
              <w:t xml:space="preserve">9</w:t>
            </w:r>
            <w:r/>
          </w:p>
          <w:p>
            <w:pPr>
              <w:pStyle w:val="869"/>
              <w:spacing w:lineRule="atLeast" w:line="320"/>
            </w:pPr>
            <w:r>
              <w:t xml:space="preserve">10</w:t>
            </w:r>
            <w:r/>
          </w:p>
          <w:p>
            <w:pPr>
              <w:pStyle w:val="869"/>
              <w:spacing w:lineRule="atLeast" w:line="320"/>
            </w:pPr>
            <w:r>
              <w:t xml:space="preserve">11</w:t>
            </w:r>
            <w:r/>
          </w:p>
          <w:p>
            <w:pPr>
              <w:pStyle w:val="869"/>
              <w:spacing w:lineRule="atLeast" w:line="320"/>
            </w:pPr>
            <w:r>
              <w:t xml:space="preserve">12</w:t>
            </w:r>
            <w:r/>
          </w:p>
          <w:p>
            <w:pPr>
              <w:pStyle w:val="869"/>
              <w:spacing w:lineRule="atLeast" w:line="320"/>
            </w:pPr>
            <w:r>
              <w:t xml:space="preserve">13</w:t>
            </w:r>
            <w:r/>
          </w:p>
          <w:p>
            <w:pPr>
              <w:pStyle w:val="869"/>
              <w:spacing w:lineRule="atLeast" w:line="320"/>
            </w:pPr>
            <w:r>
              <w:t xml:space="preserve">14</w:t>
            </w:r>
            <w:r/>
          </w:p>
          <w:p>
            <w:pPr>
              <w:pStyle w:val="869"/>
              <w:spacing w:lineRule="atLeast" w:line="320"/>
            </w:pPr>
            <w:r>
              <w:t xml:space="preserve">15</w:t>
            </w:r>
            <w:r/>
          </w:p>
          <w:p>
            <w:pPr>
              <w:pStyle w:val="869"/>
              <w:spacing w:lineRule="atLeast" w:line="320"/>
            </w:pPr>
            <w:r>
              <w:t xml:space="preserve">16</w:t>
            </w:r>
            <w:r/>
          </w:p>
          <w:p>
            <w:pPr>
              <w:pStyle w:val="869"/>
              <w:spacing w:lineRule="atLeast" w:line="320"/>
            </w:pPr>
            <w:r>
              <w:t xml:space="preserve">17</w:t>
            </w:r>
            <w:r/>
          </w:p>
          <w:p>
            <w:pPr>
              <w:pStyle w:val="869"/>
              <w:spacing w:lineRule="atLeast" w:line="320"/>
            </w:pPr>
            <w:r>
              <w:t xml:space="preserve">18</w:t>
            </w:r>
            <w:r/>
          </w:p>
          <w:p>
            <w:pPr>
              <w:pStyle w:val="869"/>
              <w:spacing w:lineRule="atLeast" w:line="320"/>
            </w:pPr>
            <w:r>
              <w:t xml:space="preserve">19</w:t>
            </w:r>
            <w:r/>
          </w:p>
          <w:p>
            <w:pPr>
              <w:pStyle w:val="869"/>
              <w:spacing w:lineRule="atLeast" w:line="320"/>
            </w:pPr>
            <w:r>
              <w:t xml:space="preserve">20</w:t>
            </w:r>
            <w:r/>
          </w:p>
          <w:p>
            <w:pPr>
              <w:pStyle w:val="869"/>
              <w:spacing w:lineRule="atLeast" w:line="320"/>
            </w:pPr>
            <w:r>
              <w:t xml:space="preserve">21</w:t>
            </w:r>
            <w:r/>
          </w:p>
          <w:p>
            <w:pPr>
              <w:pStyle w:val="869"/>
              <w:spacing w:lineRule="atLeast" w:line="320"/>
            </w:pPr>
            <w:r>
              <w:t xml:space="preserve">22</w:t>
            </w:r>
            <w:r/>
          </w:p>
          <w:p>
            <w:pPr>
              <w:pStyle w:val="869"/>
              <w:spacing w:lineRule="atLeast" w:line="320"/>
            </w:pPr>
            <w:r>
              <w:t xml:space="preserve">23</w:t>
            </w:r>
            <w:r/>
          </w:p>
          <w:p>
            <w:pPr>
              <w:pStyle w:val="869"/>
              <w:spacing w:lineRule="atLeast" w:line="320" w:after="160" w:before="0"/>
            </w:pPr>
            <w:r>
              <w:t xml:space="preserve">24</w:t>
            </w:r>
            <w:r/>
          </w:p>
        </w:tc>
      </w:tr>
    </w:tbl>
    <w:p>
      <w:pPr>
        <w:pStyle w:val="849"/>
        <w:jc w:val="both"/>
        <w:spacing w:lineRule="auto" w:line="259" w:after="160" w:before="0"/>
        <w:widowControl/>
      </w:pPr>
      <w:r/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Ecologie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Ma Prime Rénov'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Montant total des primes versées : 7.1 M€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34.0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111.3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11107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6655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23.2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71.5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7004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4009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12.9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37.0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1815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/>
        </w:trPr>
        <w:tc>
          <w:tcPr>
            <w:gridSpan w:val="5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7.1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25.5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2714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1585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4.7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16.1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1713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925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M€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 M€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Bonus électrique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bonus octroyés à des véhicules électriques : 2424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27128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23495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20320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2424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1766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Efficacité énergétique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ayant reçu l'aide : 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Modernisation des filières auto et aéro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PME : 8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La société APS, implantée à Noisiel, est lauréate du fonds auto. Spécialisée dans la protection de pièces automobiles, elle lance un projet de modernisation en intégrant une unité de tri optique associée à un poste de conditionnement automatique.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Les Ateliers de l’Ile-de-France, installés à Villeparisis, sont lauréats du fonds aéro.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Spécialisés dans le domaine de la mécanique générale de précision pour fabrication et la distribution d'outils de coupe, ils portent un projet de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reconstitution et de préservation du savoir-faire de l’usinage en France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, qui passe par la modernisation et la numérisation des outils de production.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La société Osborn Metals, basée à Longueville, est lauréate du fonds aéro.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Elle est spécialisée dans la fabrication de profils et de tubes spéciaux par étirage à froid en acier.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Elle porte un projet de modernisation de son outil de production et de réduction de son empreinte environnementale.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La société APS, implantée à Noisiel, est lauréate du fonds auto. Spécialisée dans la protection de pièces automobiles, elle lance un projet de modernisation en intégrant une unité de tri optique associée à un poste de conditionnement automatique.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Les Ateliers de l’Ile-de-France, installés à Villeparisis, sont lauréats du fonds aéro.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Spécialisés dans le domaine de la mécanique générale de précision pour fabrication et la distribution d'outils de coupe, ils portent un projet de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reconstitution et de préservation du savoir-faire de l’usinage en France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, qui passe par la modernisation et la numérisation des outils de production.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La société Osborn Metals, basée à Longueville, est lauréate du fonds aéro.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Elle est spécialisée dans la fabrication de profils et de tubes spéciaux par étirage à froid en acier.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Elle porte un projet de modernisation de son outil de production et de réduction de son empreinte environnementale.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la conversion des véhicules légers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primes à la conversion : 2660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14053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12970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12199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2481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2313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Soutien recherche aéronautique civil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projets soutenus : 17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Rénovation des bâtiments Etats (marchés notifiés)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bâtiments dont le marché de rénovation est notifié : 2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24 projets de rénovation énergétique des bâtiments de l’Etat ont été retenus en Seine-et-Marne dans le cadre du plan de relance, pour un montant de plus de 28 millions € d’investissement. 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A titre d’exemple, on peut citer 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les rénovations de l’université Gustave Eiffel et de l’Ecole nationale supérieure d’architecture de Paris Est à Champs-sur-Marne, ou encore la rénovation de l’ancienne caserne Damesme à Fontainebleau où s’installera le futur campus universitaire de l’UPEC.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Ce programme va également bénéficier aux bâtiments de la police et de la gendarmerie, ave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 plus de 2 millions € de financement consacrés à la rénovation de l’Ecole nationale supérieure de police de Cannes-Ecluse, de l’école de gendarmerie-centre national de formation à la sécurité routière de Fontainebleau, et de la brigade motorisée de Meaux.</w:t>
                            </w:r>
                            <w:r>
                              <w:rPr>
                                <w:rFonts w:cs="Calibri" w:eastAsia="Calibri"/>
                                <w:b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24 projets de rénovation énergétique des bâtiments de l’Etat ont été retenus en Seine-et-Marne dans le cadre du plan de relance, pour un montant de plus de 28 millions € d’investissement. 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A titre d’exemple, on peut citer </w:t>
                      </w: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les rénovations de l’université Gustave Eiffel et de l’Ecole nationale supérieure d’architecture de Paris Est à Champs-sur-Marne, ou encore la rénovation de l’ancienne caserne Damesme à Fontainebleau où s’installera le futur campus universitaire de l’UPEC.</w:t>
                      </w: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Ce programme va également bénéficier aux bâtiments de la police et de la gendarmerie, ave</w:t>
                      </w: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 plus de 2 millions € de financement consacrés à la rénovation de l’Ecole nationale supérieure de police de Cannes-Ecluse, de l’école de gendarmerie-centre national de formation à la sécurité routière de Fontainebleau, et de la brigade motorisée de Meaux.</w:t>
                      </w:r>
                      <w:r>
                        <w:rPr>
                          <w:rFonts w:cs="Calibri" w:eastAsia="Calibri"/>
                          <w:b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10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Compétitivité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Assurance prospection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6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179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144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France Num : aide à la numérisation des TPE,PME,ETI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d'accompagnements dispensés : 440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4669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688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Soutien aux projets industriels territoires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7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L’entreprise JPB Système, implantée à Montereau-sur-le-Jard, est lauréate du fonds de soutien à l’investissement industriel dans les territoires. 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Entreprise innovante de l’aéronautique, elle projette la construction d’un nouveau site, avec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 plus de 1000m² d’espace modulable et d’un FabLab élargi équipé pour permettre le test, le prototypage et la mise à l’épreuve des innovations en terme mécanique, électronique et software.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L’entreprises Surys, basée à Marne-et-Gondoire, est également lauréate de ce fonds. 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Le soutien de France relance à ce spécialiste des solutions de sécurité sur les marchés de l’identité et du fiduciaire va lui permettre en équipement de productions et de sûreté pour se développer sur de nouveaux marchés.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Grâce à France relance, l’entreprise Duc va pouvoir créer à Gouaix 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une nouvelle ligne de production de produits panés. Avec en perspective, la création de 15 à 20 emplois.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L’entreprise JPB Système, implantée à Montereau-sur-le-Jard, est lauréate du fonds de soutien à l’investissement industriel dans les territoires. 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Entreprise innovante de l’aéronautique, elle projette la construction d’un nouveau site, avec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 plus de 1000m² d’espace modulable et d’un FabLab élargi équipé pour permettre le test, le prototypage et la mise à l’épreuve des innovations en terme mécanique, électronique et software.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L’entreprises Surys, basée à Marne-et-Gondoire, est également lauréate de ce fonds. 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Le soutien de France relance à ce spécialiste des solutions de sécurité sur les marchés de l’identité et du fiduciaire va lui permettre en équipement de productions et de sûreté pour se développer sur de nouveaux marchés.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color w:val="auto"/>
                        </w:rPr>
                      </w:pP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Grâce à France relance, l’entreprise Duc va pouvoir créer à Gouaix 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une nouvelle ligne de production de produits panés. Avec en perspective, la création de 15 à 20 emplois.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  <w:r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AAP Industrie : Sécurisation approvisionnements critiques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TPE,PME,ETI bénéficiaires : 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Renforcement subventions Business France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d'entreprises bénéficiaires : 22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  <w:r/>
          </w:p>
        </w:tc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497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491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399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396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326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</w:pPr>
      <w:r/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</w:r>
      <w:r/>
    </w:p>
    <w:p>
      <w:pPr>
        <w:pStyle w:val="849"/>
        <w:jc w:val="left"/>
        <w:spacing w:lineRule="auto" w:line="259" w:after="160" w:before="0"/>
        <w:widowControl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  <w:t xml:space="preserve">Commentaires généraux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1" style="position:absolute;mso-wrap-distance-left:0.0pt;mso-wrap-distance-top:0.0pt;mso-wrap-distance-right:0.0pt;mso-wrap-distance-bottom:0.0pt;z-index:4;o:allowoverlap:true;o:allowincell:true;mso-position-horizontal-relative:text;margin-left:-15.1pt;mso-position-horizontal:absolute;mso-position-vertical-relative:text;margin-top:107.7pt;mso-position-vertical:absolute;width:478.6pt;height:396.8pt;" coordsize="100000,100000" path="" filled="f" strokecolor="#000000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  <w:t xml:space="preserve">Commentaires généraux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ascii="Calibri" w:hAnsi="Calibri"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16</w:t>
                            </w:r>
                            <w:r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1" style="position:absolute;mso-wrap-distance-left:0.0pt;mso-wrap-distance-top:0.0pt;mso-wrap-distance-right:0.0pt;mso-wrap-distance-bottom:0.0pt;z-index:6;o:allowoverlap:true;o:allowincell:true;mso-position-horizontal-relative:text;margin-left:-69.1pt;mso-position-horizontal:absolute;mso-position-vertical-relative:text;margin-top:568.5pt;mso-position-vertical:absolute;width:592.5pt;height:28.1pt;" coordsize="100000,100000" path="" filled="f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 w:after="0" w:before="0"/>
                      </w:pPr>
                      <w:r>
                        <w:rPr>
                          <w:rFonts w:ascii="Calibri" w:hAnsi="Calibri" w:cs="Calibri" w:eastAsia="Calibri"/>
                          <w:color w:val="auto"/>
                          <w:sz w:val="18"/>
                          <w:szCs w:val="18"/>
                        </w:rPr>
                        <w:t xml:space="preserve">16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 xml:space="preserve">Volet : Cohésion</w: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Apprentissage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d’apprentissage : 6418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84022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73669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54516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6418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4383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des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jeunes : 5151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53428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38411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19761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3857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2775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Prime à l'embauche pour les travailleurs handicapés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d'aides à l'embauche des travailleurs handicapés : 110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785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508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222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Initiatives Emploi (CIE)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CIE : 133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852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439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243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Contrats de professionnalisation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de contrats de professionnalisation : 528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10797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9136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7224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366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Garantie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en garanties jeunes : 1970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13531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11727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10422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1970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1690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1469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Parcours emploi compétences (PEC) Jeunes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Entrées de jeunes en PEC : 184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1564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1360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1191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147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w:br w:type="page"/>
      </w:r>
      <w:r/>
    </w:p>
    <w:p>
      <w:pPr>
        <w:pStyle w:val="849"/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Service civique</w:t>
      </w:r>
      <w:r/>
    </w:p>
    <w:p>
      <w:pPr>
        <w:pStyle w:val="849"/>
        <w:jc w:val="center"/>
        <w:spacing w:lineRule="auto" w:line="240" w:after="46" w:before="0"/>
        <w:rPr>
          <w:sz w:val="24"/>
          <w:szCs w:val="24"/>
        </w:rPr>
      </w:pPr>
      <w:r>
        <w:rPr>
          <w:rFonts w:ascii="Arial" w:hAnsi="Arial" w:cs="Arial"/>
          <w:i/>
          <w:iCs/>
          <w:sz w:val="22"/>
          <w:szCs w:val="22"/>
        </w:rPr>
        <w:t xml:space="preserve">Données cumulées depuis le début du financement de la mesure par le plan de relance</w:t>
      </w:r>
      <w:r/>
    </w:p>
    <w:p>
      <w:pPr>
        <w:pStyle w:val="849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Mars     2021, Nombre d'entrées en service civique : 689</w:t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3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10541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9572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</w:pPr>
            <w:r>
              <w:rPr>
                <w:rStyle w:val="874"/>
                <w:rFonts w:ascii="Arial" w:hAnsi="Arial" w:cs="Arial"/>
                <w:sz w:val="20"/>
                <w:szCs w:val="20"/>
              </w:rPr>
              <w:t xml:space="preserve">8848  </w:t>
            </w:r>
            <w:r/>
          </w:p>
        </w:tc>
      </w:tr>
    </w:tbl>
    <w:p>
      <w:pPr>
        <w:pStyle w:val="849"/>
        <w:rPr>
          <w:sz w:val="4"/>
          <w:szCs w:val="4"/>
        </w:rPr>
      </w:pPr>
      <w:r>
        <w:rPr>
          <w:sz w:val="4"/>
          <w:szCs w:val="4"/>
        </w:rPr>
      </w:r>
      <w:r/>
    </w:p>
    <w:tbl>
      <w:tblPr>
        <w:tblStyle w:val="872"/>
        <w:tblW w:w="9417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7" w:type="dxa"/>
            <w:textDirection w:val="lrTb"/>
            <w:noWrap w:val="false"/>
          </w:tcPr>
          <w:p>
            <w:pPr>
              <w:pStyle w:val="868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689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  <w:r/>
          </w:p>
        </w:tc>
        <w:tc>
          <w:tcPr>
            <w:shd w:val="clear" w:fill="BDBDBD" w:color="BDBDBD"/>
            <w:tcW w:w="4442" w:type="dxa"/>
            <w:textDirection w:val="lrTb"/>
            <w:noWrap w:val="false"/>
          </w:tcPr>
          <w:p>
            <w:pPr>
              <w:pStyle w:val="849"/>
              <w:jc w:val="center"/>
              <w:spacing w:lineRule="auto" w:line="240" w:after="0" w:before="0"/>
            </w:pPr>
            <w:r/>
            <w:r/>
          </w:p>
          <w:p>
            <w:pPr>
              <w:pStyle w:val="849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593  </w:t>
            </w:r>
            <w:r/>
          </w:p>
        </w:tc>
      </w:tr>
    </w:tbl>
    <w:p>
      <w:pPr>
        <w:pStyle w:val="849"/>
        <w:spacing w:after="160" w:before="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73"/>
                              <w:jc w:val="center"/>
                              <w:spacing w:lineRule="auto" w:line="240" w:after="0" w:before="0"/>
                            </w:pP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o:spt="1" style="position:absolute;mso-wrap-distance-left:0.0pt;mso-wrap-distance-top:0.0pt;mso-wrap-distance-right:0.0pt;mso-wrap-distance-bottom:0.0pt;z-index:3;o:allowoverlap:true;o:allowincell:true;mso-position-horizontal-relative:text;margin-left:-71.1pt;mso-position-horizontal:absolute;mso-position-vertical-relative:text;margin-top:202.9pt;mso-position-vertical:absolute;width:594.2pt;height:10.4pt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jc w:val="center"/>
                        <w:spacing w:lineRule="auto" w:line="240" w:after="0" w:before="0"/>
                      </w:pP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  <w:rPr>
                                <w:rFonts w:ascii="Calibri" w:hAnsi="Calibri" w:cs="Calibri" w:eastAsia="Calibr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cs="Calibri" w:eastAsia="Calibri"/>
                                <w:b/>
                                <w:bCs/>
                                <w:color w:val="auto"/>
                              </w:rPr>
                            </w:r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  <w:p>
                            <w:pPr>
                              <w:pStyle w:val="873"/>
                              <w:spacing w:lineRule="auto" w:line="240" w:after="0" w:before="0"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o:spt="1" style="position:absolute;mso-wrap-distance-left:0.0pt;mso-wrap-distance-top:0.0pt;mso-wrap-distance-right:0.0pt;mso-wrap-distance-bottom:0.0pt;z-index:4;o:allowoverlap:true;o:allowincell:true;mso-position-horizontal-relative:text;margin-left:0.0pt;mso-position-horizontal:absolute;mso-position-vertical-relative:text;margin-top:2.2pt;mso-position-vertical:absolute;width:470.3pt;height:208.6pt;v-text-anchor:top;" coordsize="100000,100000" path="" filled="f">
                <v:path textboxrect="0,0,0,0"/>
                <v:textbox>
                  <w:txbxContent>
                    <w:p>
                      <w:pPr>
                        <w:pStyle w:val="873"/>
                        <w:spacing w:lineRule="auto" w:line="240" w:after="0" w:befor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alibri" w:eastAsia="Calibr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  <w:rPr>
                          <w:rFonts w:ascii="Calibri" w:hAnsi="Calibri" w:cs="Calibri" w:eastAsia="Calibr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cs="Calibri" w:eastAsia="Calibri"/>
                          <w:b/>
                          <w:bCs/>
                          <w:color w:val="auto"/>
                        </w:rPr>
                      </w:r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  <w:p>
                      <w:pPr>
                        <w:pStyle w:val="873"/>
                        <w:spacing w:lineRule="auto" w:line="240" w:after="0" w:before="0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6"/>
    </w:pPr>
    <w:r>
      <w:tab/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2" o:title=""/>
            </v:shape>
          </w:pict>
        </mc:Fallback>
      </mc:AlternateConten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49"/>
    <w:next w:val="849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basedOn w:val="850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49"/>
    <w:next w:val="849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basedOn w:val="850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49"/>
    <w:next w:val="849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basedOn w:val="850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49"/>
    <w:next w:val="849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basedOn w:val="850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49"/>
    <w:next w:val="849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basedOn w:val="850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49"/>
    <w:next w:val="849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basedOn w:val="850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49"/>
    <w:next w:val="849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basedOn w:val="850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49"/>
    <w:next w:val="849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basedOn w:val="850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49"/>
    <w:next w:val="849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basedOn w:val="850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49"/>
    <w:qFormat/>
    <w:uiPriority w:val="34"/>
    <w:pPr>
      <w:contextualSpacing w:val="true"/>
      <w:ind w:left="720"/>
    </w:pPr>
  </w:style>
  <w:style w:type="paragraph" w:styleId="695">
    <w:name w:val="No Spacing"/>
    <w:qFormat/>
    <w:uiPriority w:val="1"/>
    <w:pPr>
      <w:spacing w:lineRule="auto" w:line="240" w:after="0" w:before="0"/>
    </w:pPr>
  </w:style>
  <w:style w:type="character" w:styleId="696">
    <w:name w:val="Title Char"/>
    <w:basedOn w:val="850"/>
    <w:link w:val="863"/>
    <w:uiPriority w:val="10"/>
    <w:rPr>
      <w:sz w:val="48"/>
      <w:szCs w:val="48"/>
    </w:rPr>
  </w:style>
  <w:style w:type="paragraph" w:styleId="697">
    <w:name w:val="Subtitle"/>
    <w:basedOn w:val="849"/>
    <w:next w:val="849"/>
    <w:link w:val="698"/>
    <w:qFormat/>
    <w:uiPriority w:val="11"/>
    <w:rPr>
      <w:sz w:val="24"/>
      <w:szCs w:val="24"/>
    </w:rPr>
    <w:pPr>
      <w:spacing w:after="200" w:before="200"/>
    </w:pPr>
  </w:style>
  <w:style w:type="character" w:styleId="698">
    <w:name w:val="Subtitle Char"/>
    <w:basedOn w:val="850"/>
    <w:link w:val="697"/>
    <w:uiPriority w:val="11"/>
    <w:rPr>
      <w:sz w:val="24"/>
      <w:szCs w:val="24"/>
    </w:rPr>
  </w:style>
  <w:style w:type="paragraph" w:styleId="699">
    <w:name w:val="Quote"/>
    <w:basedOn w:val="849"/>
    <w:next w:val="849"/>
    <w:link w:val="700"/>
    <w:qFormat/>
    <w:uiPriority w:val="29"/>
    <w:rPr>
      <w:i/>
    </w:rPr>
    <w:pPr>
      <w:ind w:left="720" w:right="720"/>
    </w:p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49"/>
    <w:next w:val="849"/>
    <w:link w:val="702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2">
    <w:name w:val="Intense Quote Char"/>
    <w:link w:val="701"/>
    <w:uiPriority w:val="30"/>
    <w:rPr>
      <w:i/>
    </w:rPr>
  </w:style>
  <w:style w:type="character" w:styleId="703">
    <w:name w:val="Header Char"/>
    <w:basedOn w:val="850"/>
    <w:link w:val="865"/>
    <w:uiPriority w:val="99"/>
  </w:style>
  <w:style w:type="character" w:styleId="704">
    <w:name w:val="Footer Char"/>
    <w:basedOn w:val="850"/>
    <w:link w:val="866"/>
    <w:uiPriority w:val="99"/>
  </w:style>
  <w:style w:type="character" w:styleId="705">
    <w:name w:val="Caption Char"/>
    <w:basedOn w:val="864"/>
    <w:link w:val="866"/>
    <w:uiPriority w:val="99"/>
  </w:style>
  <w:style w:type="table" w:styleId="706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2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4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5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6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7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8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9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0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41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43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47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9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0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1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2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3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4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5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7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8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9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0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1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2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3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1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2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3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4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5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6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7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8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9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20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21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22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23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24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5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6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7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8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9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0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rPr>
      <w:sz w:val="18"/>
    </w:rPr>
    <w:pPr>
      <w:spacing w:lineRule="auto" w:line="240" w:after="40"/>
    </w:p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rPr>
      <w:sz w:val="20"/>
    </w:rPr>
    <w:pPr>
      <w:spacing w:lineRule="auto" w:line="240" w:after="0"/>
    </w:p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character" w:styleId="850" w:default="1">
    <w:name w:val="Default Paragraph Font"/>
    <w:qFormat/>
    <w:uiPriority w:val="1"/>
    <w:semiHidden/>
    <w:unhideWhenUsed/>
  </w:style>
  <w:style w:type="character" w:styleId="851" w:customStyle="1">
    <w:name w:val="En-tête Car"/>
    <w:basedOn w:val="850"/>
    <w:qFormat/>
    <w:uiPriority w:val="99"/>
  </w:style>
  <w:style w:type="character" w:styleId="852" w:customStyle="1">
    <w:name w:val="Pied de page Car"/>
    <w:basedOn w:val="850"/>
    <w:link w:val="866"/>
    <w:qFormat/>
    <w:uiPriority w:val="99"/>
  </w:style>
  <w:style w:type="character" w:styleId="853" w:customStyle="1">
    <w:name w:val="Préformaté HTML Car"/>
    <w:basedOn w:val="850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854" w:customStyle="1">
    <w:name w:val="p"/>
    <w:basedOn w:val="850"/>
    <w:qFormat/>
  </w:style>
  <w:style w:type="character" w:styleId="855" w:customStyle="1">
    <w:name w:val="o"/>
    <w:basedOn w:val="850"/>
    <w:qFormat/>
  </w:style>
  <w:style w:type="character" w:styleId="856" w:customStyle="1">
    <w:name w:val="n"/>
    <w:basedOn w:val="850"/>
    <w:qFormat/>
  </w:style>
  <w:style w:type="character" w:styleId="857" w:customStyle="1">
    <w:name w:val="k"/>
    <w:basedOn w:val="850"/>
    <w:qFormat/>
  </w:style>
  <w:style w:type="paragraph" w:styleId="858">
    <w:name w:val="Titre"/>
    <w:basedOn w:val="849"/>
    <w:next w:val="85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59">
    <w:name w:val="Body Text"/>
    <w:basedOn w:val="849"/>
    <w:pPr>
      <w:spacing w:lineRule="auto" w:line="276" w:after="140" w:before="0"/>
    </w:pPr>
  </w:style>
  <w:style w:type="paragraph" w:styleId="860">
    <w:name w:val="List"/>
    <w:basedOn w:val="859"/>
    <w:rPr>
      <w:rFonts w:cs="Lohit Devanagari"/>
    </w:rPr>
  </w:style>
  <w:style w:type="paragraph" w:styleId="861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2" w:customStyle="1">
    <w:name w:val="Index"/>
    <w:basedOn w:val="849"/>
    <w:qFormat/>
    <w:rPr>
      <w:rFonts w:cs="Lohit Devanagari"/>
    </w:rPr>
    <w:pPr>
      <w:suppressLineNumbers/>
    </w:pPr>
  </w:style>
  <w:style w:type="paragraph" w:styleId="863">
    <w:name w:val="Title"/>
    <w:basedOn w:val="849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864">
    <w:name w:val="Caption"/>
    <w:basedOn w:val="849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5">
    <w:name w:val="Header"/>
    <w:basedOn w:val="849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6">
    <w:name w:val="Footer"/>
    <w:basedOn w:val="849"/>
    <w:link w:val="852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867">
    <w:name w:val="HTML Preformatted"/>
    <w:basedOn w:val="849"/>
    <w:link w:val="853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868" w:customStyle="1">
    <w:name w:val="Obsah tabulky"/>
    <w:basedOn w:val="849"/>
    <w:qFormat/>
    <w:pPr>
      <w:suppressLineNumbers/>
    </w:pPr>
  </w:style>
  <w:style w:type="paragraph" w:styleId="869">
    <w:name w:val="Contenu de tableau"/>
    <w:basedOn w:val="849"/>
    <w:qFormat/>
    <w:pPr>
      <w:suppressLineNumbers/>
    </w:pPr>
  </w:style>
  <w:style w:type="numbering" w:styleId="870" w:default="1">
    <w:name w:val="No List"/>
    <w:qFormat/>
    <w:uiPriority w:val="99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72">
    <w:name w:val="Table Grid"/>
    <w:basedOn w:val="871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73">
    <w:name w:val="Contenu de cadre"/>
    <w:basedOn w:val="849"/>
    <w:qFormat/>
  </w:style>
  <w:style w:type="character" w:styleId="874">
    <w:name w:val="Texte source"/>
    <w:qFormat/>
    <w:rPr>
      <w:rFonts w:ascii="Liberation Mono" w:hAnsi="Liberation Mono" w:cs="Liberation Mono" w:eastAsia="Liberation Mono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Olivier GERSTLE</cp:lastModifiedBy>
  <cp:revision>17</cp:revision>
  <dcterms:created xsi:type="dcterms:W3CDTF">2021-04-02T09:48:00Z</dcterms:created>
  <dcterms:modified xsi:type="dcterms:W3CDTF">2021-05-04T15:29:35Z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