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95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695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695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695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695"/>
      </w:pPr>
      <w:r>
        <w:rPr>
          <w:rFonts w:ascii="Marianne" w:hAnsi="Marianne" w:cs="Arial"/>
          <w:b/>
          <w:bCs/>
          <w:sz w:val="56"/>
          <w:szCs w:val="56"/>
        </w:rPr>
        <w:t xml:space="preserve">SUIVI TERRITORIAL</w:t>
      </w:r>
      <w:r/>
    </w:p>
    <w:p>
      <w:pPr>
        <w:pStyle w:val="695"/>
      </w:pPr>
      <w:r>
        <w:rPr>
          <w:rFonts w:ascii="Marianne" w:hAnsi="Marianne" w:cs="Arial"/>
          <w:b/>
          <w:bCs/>
          <w:sz w:val="56"/>
          <w:szCs w:val="56"/>
        </w:rPr>
        <w:t xml:space="preserve">DU PLAN FRANCE RELANCE</w:t>
      </w:r>
      <w:r/>
    </w:p>
    <w:p>
      <w:pPr>
        <w:pStyle w:val="695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695"/>
        <w:rPr>
          <w:rFonts w:ascii="Marianne" w:hAnsi="Marianne"/>
        </w:rPr>
      </w:pPr>
      <w:r>
        <w:rPr>
          <w:rFonts w:ascii="Marianne" w:hAnsi="Marianne" w:cs="Arial"/>
          <w:i/>
          <w:iCs/>
          <w:sz w:val="40"/>
          <w:szCs w:val="40"/>
        </w:rPr>
        <w:t xml:space="preserve">Données pour le département : Territoire de Belfort</w:t>
      </w:r>
      <w:r/>
    </w:p>
    <w:p>
      <w:pPr>
        <w:pStyle w:val="695"/>
      </w:pPr>
      <w:r>
        <w:rPr>
          <w:rFonts w:ascii="Marianne" w:hAnsi="Marianne" w:cs="Arial"/>
          <w:i/>
          <w:iCs/>
          <w:sz w:val="40"/>
          <w:szCs w:val="40"/>
        </w:rPr>
        <w:t xml:space="preserve">Date : Mai 2021</w:t>
      </w:r>
      <w:r/>
    </w:p>
    <w:p>
      <w:pPr>
        <w:pStyle w:val="695"/>
        <w:rPr>
          <w:rFonts w:ascii="Marianne" w:hAnsi="Marianne" w:cs="Arial"/>
          <w:i/>
          <w:iCs/>
          <w:sz w:val="56"/>
          <w:szCs w:val="56"/>
        </w:rPr>
      </w:pPr>
      <w:r>
        <w:rPr>
          <w:rFonts w:ascii="Marianne" w:hAnsi="Marianne" w:cs="Arial"/>
          <w:i/>
          <w:iCs/>
          <w:sz w:val="56"/>
          <w:szCs w:val="56"/>
        </w:rPr>
      </w:r>
      <w:r/>
    </w:p>
    <w:p>
      <w:pPr>
        <w:pStyle w:val="738"/>
        <w:jc w:val="both"/>
      </w:pPr>
      <w:r>
        <w:rPr>
          <w:rFonts w:ascii="Marianne" w:hAnsi="Marianne"/>
          <w:sz w:val="22"/>
          <w:szCs w:val="22"/>
        </w:rPr>
        <w:t xml:space="preserve">Les portraits de la relance illustrent l’ancrage territorial du plan et les bénéfices générés localement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 xml:space="preserve">: cr</w:t>
      </w:r>
      <w:r>
        <w:rPr>
          <w:rFonts w:ascii="Marianne" w:hAnsi="Marianne" w:cs="Marianne"/>
          <w:sz w:val="22"/>
          <w:szCs w:val="22"/>
        </w:rPr>
        <w:t xml:space="preserve">é</w:t>
      </w:r>
      <w:r>
        <w:rPr>
          <w:rFonts w:ascii="Marianne" w:hAnsi="Marianne"/>
          <w:sz w:val="22"/>
          <w:szCs w:val="22"/>
        </w:rPr>
        <w:t xml:space="preserve">ations d’emploi, développement économique, amélioration de l’empreinte écologique…dans tous les départements de France.</w:t>
      </w:r>
      <w:r/>
    </w:p>
    <w:p>
      <w:pPr>
        <w:pStyle w:val="737"/>
        <w:jc w:val="both"/>
        <w:rPr>
          <w:i w:val="false"/>
          <w:iCs w:val="false"/>
          <w:sz w:val="22"/>
          <w:szCs w:val="22"/>
        </w:rPr>
      </w:pPr>
      <w:r>
        <w:rPr>
          <w:rFonts w:ascii="Marianne" w:hAnsi="Marianne" w:cs="Arial"/>
          <w:i w:val="false"/>
          <w:iCs w:val="false"/>
          <w:sz w:val="22"/>
          <w:szCs w:val="22"/>
        </w:rPr>
        <w:t xml:space="preserve"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ascii="Marianne" w:hAnsi="Marianne" w:cs="Calibri"/>
          <w:i w:val="false"/>
          <w:iCs w:val="false"/>
          <w:sz w:val="22"/>
          <w:szCs w:val="22"/>
        </w:rPr>
        <w:t xml:space="preserve"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/>
    </w:p>
    <w:p>
      <w:pPr>
        <w:pStyle w:val="740"/>
        <w:jc w:val="both"/>
      </w:pPr>
      <w:r/>
      <w:hyperlink r:id="rId12" w:tooltip="https://www.gouvernement.fr/portraits-de-la-relance" w:history="1">
        <w:r>
          <w:rPr>
            <w:rStyle w:val="709"/>
            <w:rFonts w:ascii="Marianne" w:hAnsi="Marianne" w:cs="Arial"/>
            <w:i/>
            <w:iCs/>
            <w:color w:val="00A65D"/>
            <w:sz w:val="22"/>
            <w:szCs w:val="22"/>
          </w:rPr>
          <w:t xml:space="preserve">Portraits de la relance</w:t>
        </w:r>
      </w:hyperlink>
      <w:r>
        <w:br w:type="page"/>
      </w:r>
      <w:r/>
    </w:p>
    <w:p>
      <w:pPr>
        <w:pStyle w:val="695"/>
        <w:rPr>
          <w:rFonts w:ascii="Marianne" w:hAnsi="Marianne"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  <w:r/>
    </w:p>
    <w:sdt>
      <w:sdtPr>
        <w15:appearance w15:val="boundingBox"/>
        <w:id w:val="1354756294"/>
        <w:docPartObj>
          <w:docPartGallery w:val="Table of Contents"/>
          <w:docPartUnique w:val="true"/>
        </w:docPartObj>
        <w:rPr/>
      </w:sdtPr>
      <w:sdtContent>
        <w:p>
          <w:pPr>
            <w:pStyle w:val="736"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 xml:space="preserve">Table des matières</w:t>
          </w:r>
          <w:r/>
        </w:p>
        <w:p>
          <w:pPr>
            <w:pStyle w:val="741"/>
            <w:tabs>
              <w:tab w:val="right" w:pos="9356" w:leader="dot"/>
            </w:tabs>
          </w:pPr>
          <w:r>
            <w:fldChar w:fldCharType="begin"/>
          </w:r>
          <w:r>
            <w:rPr>
              <w:rStyle w:val="722"/>
            </w:rPr>
            <w:instrText xml:space="preserve"> TOC \z \o "1-3" \u \h</w:instrText>
          </w:r>
          <w:r>
            <w:rPr>
              <w:rStyle w:val="722"/>
            </w:rPr>
            <w:fldChar w:fldCharType="separate"/>
          </w:r>
          <w:hyperlink w:tooltip="#__RefHeading___Toc2084_2485215072" w:anchor="__RefHeading___Toc2084_2485215072" w:history="1">
            <w:r>
              <w:rPr>
                <w:rStyle w:val="722"/>
              </w:rPr>
              <w:t xml:space="preserve">Volet 1 : Ecologie</w:t>
              <w:tab/>
              <w:t xml:space="preserve">3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086_2485215072" w:anchor="__RefHeading___Toc2086_2485215072" w:history="1">
            <w:r>
              <w:rPr>
                <w:rStyle w:val="722"/>
              </w:rPr>
              <w:t xml:space="preserve">1 - Bonus écologique</w:t>
              <w:tab/>
              <w:t xml:space="preserve">4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088_2485215072" w:anchor="__RefHeading___Toc2088_2485215072" w:history="1">
            <w:r>
              <w:rPr>
                <w:rStyle w:val="722"/>
              </w:rPr>
              <w:t xml:space="preserve">2 - MaPrimeRénov'</w:t>
              <w:tab/>
              <w:t xml:space="preserve">5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090_2485215072" w:anchor="__RefHeading___Toc2090_2485215072" w:history="1">
            <w:r>
              <w:rPr>
                <w:rStyle w:val="722"/>
              </w:rPr>
              <w:t xml:space="preserve">3 - Modernisation des filières automobiles et aéronautiques</w:t>
              <w:tab/>
              <w:t xml:space="preserve">6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092_2485215072" w:anchor="__RefHeading___Toc2092_2485215072" w:history="1">
            <w:r>
              <w:rPr>
                <w:rStyle w:val="722"/>
              </w:rPr>
              <w:t xml:space="preserve">4 - Prime à la conversion des agroéquipements</w:t>
              <w:tab/>
              <w:t xml:space="preserve">7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094_2485215072" w:anchor="__RefHeading___Toc2094_2485215072" w:history="1">
            <w:r>
              <w:rPr>
                <w:rStyle w:val="722"/>
              </w:rPr>
              <w:t xml:space="preserve">5 - Prime à la conversion des véhicules légers</w:t>
              <w:tab/>
              <w:t xml:space="preserve">8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096_2485215072" w:anchor="__RefHeading___Toc2096_2485215072" w:history="1">
            <w:r>
              <w:rPr>
                <w:rStyle w:val="722"/>
              </w:rPr>
              <w:t xml:space="preserve">6 - Réhabilitation Friches (urbaines et sites pollués)</w:t>
              <w:tab/>
              <w:t xml:space="preserve">9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098_2485215072" w:anchor="__RefHeading___Toc2098_2485215072" w:history="1">
            <w:r>
              <w:rPr>
                <w:rStyle w:val="722"/>
              </w:rPr>
              <w:t xml:space="preserve">7 - Rénovation bâtiments Etat</w:t>
              <w:tab/>
              <w:t xml:space="preserve">10</w:t>
            </w:r>
          </w:hyperlink>
          <w:r/>
          <w:r/>
        </w:p>
        <w:p>
          <w:pPr>
            <w:pStyle w:val="741"/>
            <w:tabs>
              <w:tab w:val="right" w:pos="9356" w:leader="dot"/>
            </w:tabs>
          </w:pPr>
          <w:r/>
          <w:hyperlink w:tooltip="#__RefHeading___Toc2100_2485215072" w:anchor="__RefHeading___Toc2100_2485215072" w:history="1">
            <w:r>
              <w:rPr>
                <w:rStyle w:val="722"/>
              </w:rPr>
              <w:t xml:space="preserve">Volet 2 : Compétitivité</w:t>
              <w:tab/>
              <w:t xml:space="preserve">11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02_2485215072" w:anchor="__RefHeading___Toc2102_2485215072" w:history="1">
            <w:r>
              <w:rPr>
                <w:rStyle w:val="722"/>
              </w:rPr>
              <w:t xml:space="preserve">8 - AAP Industrie : Soutien aux projets industriels territoires</w:t>
              <w:tab/>
              <w:t xml:space="preserve">12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04_2485215072" w:anchor="__RefHeading___Toc2104_2485215072" w:history="1">
            <w:r>
              <w:rPr>
                <w:rStyle w:val="722"/>
              </w:rPr>
              <w:t xml:space="preserve">9 - AAP Industrie : Sécurisation approvisionnements critiques</w:t>
              <w:tab/>
              <w:t xml:space="preserve">13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06_2485215072" w:anchor="__RefHeading___Toc2106_2485215072" w:history="1">
            <w:r>
              <w:rPr>
                <w:rStyle w:val="722"/>
              </w:rPr>
              <w:t xml:space="preserve">10 - France Num : aide à la numérisation des TPE,PME,ETI</w:t>
              <w:tab/>
              <w:t xml:space="preserve">14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08_2485215072" w:anchor="__RefHeading___Toc2108_2485215072" w:history="1">
            <w:r>
              <w:rPr>
                <w:rStyle w:val="722"/>
              </w:rPr>
              <w:t xml:space="preserve">11 - Industrie du futur</w:t>
              <w:tab/>
              <w:t xml:space="preserve">15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10_2485215072" w:anchor="__RefHeading___Toc2110_2485215072" w:history="1">
            <w:r>
              <w:rPr>
                <w:rStyle w:val="722"/>
              </w:rPr>
              <w:t xml:space="preserve">12 - Renforcement subventions Business France</w:t>
              <w:tab/>
              <w:t xml:space="preserve">16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12_2485215072" w:anchor="__RefHeading___Toc2112_2485215072" w:history="1">
            <w:r>
              <w:rPr>
                <w:rStyle w:val="722"/>
              </w:rPr>
              <w:t xml:space="preserve">13 - Soutien aux filières culturelles (cinéma, audiovisuel, musique, numérique, livre)</w:t>
              <w:tab/>
              <w:t xml:space="preserve">17</w:t>
            </w:r>
          </w:hyperlink>
          <w:r/>
          <w:r/>
        </w:p>
        <w:p>
          <w:pPr>
            <w:pStyle w:val="741"/>
            <w:tabs>
              <w:tab w:val="right" w:pos="9356" w:leader="dot"/>
            </w:tabs>
          </w:pPr>
          <w:r/>
          <w:hyperlink w:tooltip="#__RefHeading___Toc2114_2485215072" w:anchor="__RefHeading___Toc2114_2485215072" w:history="1">
            <w:r>
              <w:rPr>
                <w:rStyle w:val="722"/>
              </w:rPr>
              <w:t xml:space="preserve">Volet 3 : Cohésion</w:t>
              <w:tab/>
              <w:t xml:space="preserve">18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16_2485215072" w:anchor="__RefHeading___Toc2116_2485215072" w:history="1">
            <w:r>
              <w:rPr>
                <w:rStyle w:val="722"/>
              </w:rPr>
              <w:t xml:space="preserve">14 - Apprentissage</w:t>
              <w:tab/>
              <w:t xml:space="preserve">19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18_2485215072" w:anchor="__RefHeading___Toc2118_2485215072" w:history="1">
            <w:r>
              <w:rPr>
                <w:rStyle w:val="722"/>
              </w:rPr>
              <w:t xml:space="preserve">15 - Contrats Initiatives Emploi (CIE) Jeunes</w:t>
              <w:tab/>
              <w:t xml:space="preserve">20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20_2485215072" w:anchor="__RefHeading___Toc2120_2485215072" w:history="1">
            <w:r>
              <w:rPr>
                <w:rStyle w:val="722"/>
              </w:rPr>
              <w:t xml:space="preserve">16 - Contrats de professionnalisation</w:t>
              <w:tab/>
              <w:t xml:space="preserve">21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22_2485215072" w:anchor="__RefHeading___Toc2122_2485215072" w:history="1">
            <w:r>
              <w:rPr>
                <w:rStyle w:val="722"/>
              </w:rPr>
              <w:t xml:space="preserve">17 - Garantie jeunes</w:t>
              <w:tab/>
              <w:t xml:space="preserve">22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24_2485215072" w:anchor="__RefHeading___Toc2124_2485215072" w:history="1">
            <w:r>
              <w:rPr>
                <w:rStyle w:val="722"/>
              </w:rPr>
              <w:t xml:space="preserve">18 - Parcours emploi compétences (PEC) Jeunes</w:t>
              <w:tab/>
              <w:t xml:space="preserve">23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26_2485215072" w:anchor="__RefHeading___Toc2126_2485215072" w:history="1">
            <w:r>
              <w:rPr>
                <w:rStyle w:val="722"/>
              </w:rPr>
              <w:t xml:space="preserve">19 - Prime à l'embauche des jeunes</w:t>
              <w:tab/>
              <w:t xml:space="preserve">24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28_2485215072" w:anchor="__RefHeading___Toc2128_2485215072" w:history="1">
            <w:r>
              <w:rPr>
                <w:rStyle w:val="722"/>
              </w:rPr>
              <w:t xml:space="preserve">20 - Prime à l'embauche pour les travailleurs handicapés</w:t>
              <w:tab/>
              <w:t xml:space="preserve">25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30_2485215072" w:anchor="__RefHeading___Toc2130_2485215072" w:history="1">
            <w:r>
              <w:rPr>
                <w:rStyle w:val="722"/>
              </w:rPr>
              <w:t xml:space="preserve">21 - Service civique</w:t>
              <w:tab/>
              <w:t xml:space="preserve">26</w:t>
            </w:r>
          </w:hyperlink>
          <w:r/>
          <w:r/>
        </w:p>
      </w:sdtContent>
    </w:sdt>
    <w:p>
      <w:pPr>
        <w:pStyle w:val="740"/>
      </w:pPr>
      <w:r/>
      <w:r>
        <w:fldChar w:fldCharType="end"/>
      </w:r>
      <w:r>
        <w:br w:type="page"/>
      </w:r>
      <w:r/>
    </w:p>
    <w:p>
      <w:pPr>
        <w:pStyle w:val="695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697"/>
        <w:numPr>
          <w:ilvl w:val="1"/>
          <w:numId w:val="2"/>
        </w:numPr>
        <w:rPr>
          <w:sz w:val="44"/>
          <w:szCs w:val="44"/>
        </w:rPr>
      </w:pPr>
      <w:r/>
      <w:bookmarkStart w:id="0" w:name="__RefHeading___Toc2084_2485215072"/>
      <w:r/>
      <w:bookmarkEnd w:id="0"/>
      <w:r>
        <w:rPr>
          <w:rFonts w:ascii="Marianne" w:hAnsi="Marianne"/>
          <w:sz w:val="48"/>
          <w:szCs w:val="48"/>
        </w:rPr>
        <w:t xml:space="preserve">Volet 1 : Ecologie</w:t>
      </w:r>
      <w:r/>
    </w:p>
    <w:tbl>
      <w:tblPr>
        <w:tblW w:w="9072" w:type="dxa"/>
        <w:tblInd w:w="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072"/>
      </w:tblGrid>
      <w:tr>
        <w:trPr>
          <w:trHeight w:val="8055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072" w:type="dxa"/>
            <w:textDirection w:val="lrTb"/>
            <w:noWrap w:val="false"/>
          </w:tcPr>
          <w:p>
            <w:pPr>
              <w:pStyle w:val="739"/>
              <w:jc w:val="left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Calibri" w:eastAsia="Calibr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Marianne" w:hAnsi="Marianne" w:cs="Calibri" w:eastAsia="Calibr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  <w:r/>
          </w:p>
          <w:p>
            <w:pPr>
              <w:contextualSpacing w:val="false"/>
              <w:ind w:left="0" w:right="0" w:firstLine="0"/>
              <w:jc w:val="both"/>
              <w:keepLines w:val="false"/>
              <w:keepNext w:val="false"/>
              <w:pageBreakBefore w:val="false"/>
              <w:spacing w:lineRule="atLeast" w:line="260" w:after="79" w:afterAutospacing="0" w:before="119" w:beforeAutospacing="0"/>
              <w:shd w:val="nil" w:fill="000000" w:color="000000"/>
              <w:widowControl/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strike w:val="false"/>
                <w:color w:val="00000A"/>
                <w:spacing w:val="0"/>
                <w:position w:val="0"/>
                <w:sz w:val="20"/>
                <w:szCs w:val="22"/>
                <w:u w:val="none"/>
                <w:vertAlign w:val="baseline"/>
                <w:lang w:val="fr-FR" w:bidi="ar-SA" w:eastAsia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  <w:r/>
            <w:r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strike w:val="false"/>
                <w:spacing w:val="0"/>
                <w:position w:val="0"/>
                <w:sz w:val="20"/>
                <w:u w:val="none"/>
                <w:vertAlign w:val="baseline"/>
                <w:lang w:val="fr-FR" w:bidi="ar-SA" w:eastAsia="en-US"/>
              </w:rPr>
              <w:t xml:space="preserve">France Relance dans le Territoire de Belfort a mobilisé 5,6 millions d’euros pour 22 projets de rénovation des bâtiments de l’État, pour un meilleur confort des agents et des usagers. </w:t>
            </w:r>
            <w:r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strike w:val="false"/>
                <w:color w:val="00000A"/>
                <w:spacing w:val="0"/>
                <w:position w:val="0"/>
                <w:sz w:val="20"/>
                <w:szCs w:val="22"/>
                <w:u w:val="none"/>
                <w:vertAlign w:val="baseline"/>
                <w:lang w:val="fr-FR" w:bidi="ar-SA" w:eastAsia="en-US"/>
              </w:rPr>
            </w:r>
            <w:r/>
          </w:p>
          <w:p>
            <w:pPr>
              <w:ind w:left="0" w:right="0" w:firstLine="0"/>
              <w:jc w:val="both"/>
              <w:spacing w:lineRule="atLeast" w:line="260" w:after="79" w:before="119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A"/>
                <w:sz w:val="20"/>
              </w:rPr>
              <w:t xml:space="preserve">Bénéficieront de ces crédits, les bâtiments de l’Université de Technologie de Belfort-Montbéliard (UTBM), les locaux de la Gendarmerie et de la police nationale de Belfort, les services des directions départementales interministérielles, l’agence nationale</w:t>
            </w:r>
            <w:r>
              <w:rPr>
                <w:rFonts w:ascii="Arial" w:hAnsi="Arial" w:cs="Arial" w:eastAsia="Arial"/>
                <w:color w:val="00000A"/>
                <w:sz w:val="20"/>
              </w:rPr>
              <w:t xml:space="preserve"> pour la formation professionnelle des adultes à Belfort, les centres des finances publiques à Belfort, le site relevant des infrastructures de défense (Armées) de Bermont, les installations de Voies Navigables de France (VNF) à Bavilliers.</w:t>
            </w:r>
            <w:r/>
            <w:r/>
          </w:p>
          <w:p>
            <w:pPr>
              <w:contextualSpacing w:val="false"/>
              <w:ind w:left="0" w:right="0" w:firstLine="0"/>
              <w:jc w:val="both"/>
              <w:keepLines w:val="false"/>
              <w:keepNext w:val="false"/>
              <w:pageBreakBefore w:val="false"/>
              <w:spacing w:lineRule="atLeast" w:line="260" w:after="79" w:afterAutospacing="0" w:before="119" w:beforeAutospacing="0"/>
              <w:shd w:val="nil" w:fill="000000" w:color="000000"/>
              <w:widowControl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strike w:val="false"/>
                <w:spacing w:val="0"/>
                <w:position w:val="0"/>
                <w:sz w:val="20"/>
                <w:u w:val="none"/>
                <w:vertAlign w:val="baseline"/>
                <w:lang w:val="fr-FR" w:bidi="ar-SA" w:eastAsia="en-US"/>
              </w:rPr>
              <w:t xml:space="preserve">L’accompagnement au développement des infrastructures cyclables dans le département, enregistre 3 lauréats de l’appel à projets « fonds de mobilité active » représentant un soutien financier de près de 2 </w:t>
            </w:r>
            <w:r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strike w:val="false"/>
                <w:spacing w:val="0"/>
                <w:position w:val="0"/>
                <w:sz w:val="20"/>
                <w:u w:val="none"/>
                <w:vertAlign w:val="baseline"/>
                <w:lang w:val="fr-FR" w:bidi="ar-SA" w:eastAsia="en-US"/>
              </w:rPr>
              <w:t xml:space="preserve">millions d’euros.</w:t>
            </w:r>
            <w:r/>
            <w:r/>
          </w:p>
          <w:p>
            <w:pPr>
              <w:pStyle w:val="29"/>
              <w:numPr>
                <w:ilvl w:val="0"/>
                <w:numId w:val="26"/>
              </w:numPr>
              <w:ind w:right="0"/>
              <w:jc w:val="both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A"/>
                <w:sz w:val="20"/>
              </w:rPr>
              <w:t xml:space="preserve">la liaison cyclable Thiancourt – Courtelevant - projet porté par le Conseil Départemental ;</w:t>
            </w:r>
            <w:r/>
            <w:r/>
          </w:p>
          <w:p>
            <w:pPr>
              <w:pStyle w:val="29"/>
              <w:numPr>
                <w:ilvl w:val="0"/>
                <w:numId w:val="26"/>
              </w:numPr>
              <w:ind w:right="0"/>
              <w:jc w:val="both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A"/>
                <w:sz w:val="20"/>
              </w:rPr>
              <w:t xml:space="preserve">la voie verte le long de la RD23 permettant d’établir une liaison le centre bourg et Valdoie – projet porté par la commune d’Éloie ;</w:t>
            </w:r>
            <w:r/>
            <w:r/>
          </w:p>
          <w:p>
            <w:pPr>
              <w:pStyle w:val="29"/>
              <w:numPr>
                <w:ilvl w:val="0"/>
                <w:numId w:val="26"/>
              </w:numPr>
              <w:ind w:right="0"/>
              <w:jc w:val="both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A"/>
                <w:sz w:val="20"/>
              </w:rPr>
              <w:t xml:space="preserve">la liaison entre le centre-ville de Giromagny et la voie verte départementale – projet porté par la commune de Giromagny.</w:t>
            </w:r>
            <w:r/>
            <w:r/>
          </w:p>
          <w:p>
            <w:pPr>
              <w:contextualSpacing w:val="false"/>
              <w:ind w:left="0" w:right="0" w:firstLine="0"/>
              <w:jc w:val="both"/>
              <w:keepLines w:val="false"/>
              <w:keepNext w:val="false"/>
              <w:pageBreakBefore w:val="false"/>
              <w:spacing w:lineRule="atLeast" w:line="260" w:after="79" w:afterAutospacing="0" w:before="119" w:beforeAutospacing="0"/>
              <w:shd w:val="nil" w:fill="000000" w:color="000000"/>
              <w:widowControl/>
              <w:rPr>
                <w:rFonts w:ascii="Arial" w:hAnsi="Arial" w:cs="Arial" w:eastAsia="Arial"/>
                <w:color w:val="00000A"/>
                <w:lang w:val="fr-FR" w:bidi="ar-SA" w:eastAsia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strike w:val="false"/>
                <w:spacing w:val="0"/>
                <w:position w:val="0"/>
                <w:sz w:val="20"/>
                <w:u w:val="none"/>
                <w:vertAlign w:val="baseline"/>
                <w:lang w:val="fr-FR" w:bidi="ar-SA" w:eastAsia="en-US"/>
              </w:rPr>
              <w:t xml:space="preserve">France Relance a accompagné les </w:t>
            </w:r>
            <w:r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strike w:val="false"/>
                <w:spacing w:val="0"/>
                <w:position w:val="0"/>
                <w:sz w:val="20"/>
                <w:u w:val="none"/>
                <w:vertAlign w:val="baseline"/>
                <w:lang w:val="fr-FR" w:bidi="ar-SA" w:eastAsia="en-US"/>
              </w:rPr>
              <w:t xml:space="preserve">Terrifortains dans le verdissement de leur véhicule automobile </w:t>
            </w:r>
            <w:r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strike w:val="false"/>
                <w:spacing w:val="0"/>
                <w:position w:val="0"/>
                <w:sz w:val="20"/>
                <w:u w:val="none"/>
                <w:vertAlign w:val="baseline"/>
                <w:lang w:val="fr-FR" w:bidi="ar-SA" w:eastAsia="en-US"/>
              </w:rPr>
              <w:t xml:space="preserve">avec </w:t>
            </w:r>
            <w:r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strike w:val="false"/>
                <w:spacing w:val="0"/>
                <w:position w:val="0"/>
                <w:sz w:val="20"/>
                <w:u w:val="none"/>
                <w:vertAlign w:val="baseline"/>
                <w:lang w:val="fr-FR" w:bidi="ar-SA" w:eastAsia="en-US"/>
              </w:rPr>
              <w:t xml:space="preserve">plus de 552 primes à la conversion et bonus écologique.</w:t>
            </w:r>
            <w:r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strike w:val="false"/>
                <w:color w:val="00000A"/>
                <w:spacing w:val="0"/>
                <w:position w:val="0"/>
                <w:sz w:val="20"/>
                <w:szCs w:val="22"/>
                <w:u w:val="none"/>
                <w:vertAlign w:val="baseline"/>
                <w:lang w:val="fr-FR" w:bidi="ar-SA" w:eastAsia="en-US"/>
              </w:rPr>
            </w:r>
            <w:r/>
          </w:p>
          <w:p>
            <w:pPr>
              <w:contextualSpacing w:val="false"/>
              <w:ind w:left="0" w:right="0" w:firstLine="0"/>
              <w:jc w:val="both"/>
              <w:keepLines w:val="false"/>
              <w:keepNext w:val="false"/>
              <w:pageBreakBefore w:val="false"/>
              <w:spacing w:lineRule="atLeast" w:line="260" w:after="79" w:afterAutospacing="0" w:before="119" w:beforeAutospacing="0"/>
              <w:shd w:val="nil" w:fill="000000" w:color="000000"/>
              <w:widowControl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strike w:val="false"/>
                <w:spacing w:val="0"/>
                <w:position w:val="0"/>
                <w:sz w:val="20"/>
                <w:u w:val="none"/>
                <w:vertAlign w:val="baseline"/>
                <w:lang w:val="fr-FR" w:bidi="ar-SA" w:eastAsia="en-US"/>
              </w:rPr>
              <w:t xml:space="preserve">Entre le 1</w:t>
            </w:r>
            <w:r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strike w:val="false"/>
                <w:spacing w:val="0"/>
                <w:position w:val="0"/>
                <w:sz w:val="20"/>
                <w:u w:val="none"/>
                <w:vertAlign w:val="baseline"/>
                <w:lang w:val="fr-FR" w:bidi="ar-SA" w:eastAsia="en-US"/>
              </w:rPr>
              <w:t xml:space="preserve">er </w:t>
            </w:r>
            <w:r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strike w:val="false"/>
                <w:spacing w:val="0"/>
                <w:position w:val="0"/>
                <w:sz w:val="20"/>
                <w:u w:val="none"/>
                <w:vertAlign w:val="baseline"/>
                <w:lang w:val="fr-FR" w:bidi="ar-SA" w:eastAsia="en-US"/>
              </w:rPr>
              <w:t xml:space="preserve">janvier 2020 et le 14 juin 2021, ce sont plus de </w:t>
            </w:r>
            <w:r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strike w:val="false"/>
                <w:spacing w:val="0"/>
                <w:position w:val="0"/>
                <w:sz w:val="20"/>
                <w:u w:val="none"/>
                <w:vertAlign w:val="baseline"/>
                <w:lang w:val="fr-FR" w:bidi="ar-SA" w:eastAsia="en-US"/>
              </w:rPr>
              <w:t xml:space="preserve">945 particuliers qui se sont saisis de MaPrimeRénov’ </w:t>
            </w:r>
            <w:r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strike w:val="false"/>
                <w:spacing w:val="0"/>
                <w:position w:val="0"/>
                <w:sz w:val="20"/>
                <w:u w:val="none"/>
                <w:vertAlign w:val="baseline"/>
                <w:lang w:val="fr-FR" w:bidi="ar-SA" w:eastAsia="en-US"/>
              </w:rPr>
              <w:t xml:space="preserve">p</w:t>
            </w:r>
            <w:r>
              <w:rPr>
                <w:rFonts w:ascii="Arial" w:hAnsi="Arial" w:cs="Arial" w:eastAsia="Arial"/>
                <w:color w:val="000000"/>
                <w:sz w:val="20"/>
              </w:rPr>
              <w:t xml:space="preserve">our réaliser 11,92 M d’euros de travaux pour réduire l’empreinte carbone de leur logement, bénéficiant de 4 million d’euros d’aides de l’État, soit un taux de subvention de plus de 34%.</w:t>
            </w:r>
            <w:r/>
            <w:r/>
          </w:p>
          <w:p>
            <w:pPr>
              <w:contextualSpacing w:val="false"/>
              <w:ind w:left="0" w:right="0" w:firstLine="0"/>
              <w:jc w:val="both"/>
              <w:keepLines w:val="false"/>
              <w:keepNext w:val="false"/>
              <w:pageBreakBefore w:val="false"/>
              <w:spacing w:lineRule="atLeast" w:line="260" w:after="79" w:afterAutospacing="0" w:before="119" w:beforeAutospacing="0"/>
              <w:shd w:val="nil" w:fill="000000" w:color="000000"/>
              <w:widowControl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strike w:val="false"/>
                <w:spacing w:val="0"/>
                <w:position w:val="0"/>
                <w:sz w:val="20"/>
                <w:u w:val="none"/>
                <w:vertAlign w:val="baseline"/>
                <w:lang w:val="fr-FR" w:bidi="ar-SA" w:eastAsia="en-US"/>
              </w:rPr>
              <w:t xml:space="preserve">France Relance développe des actions pour promouvoir l’agriculture de proximité </w:t>
            </w:r>
            <w:r>
              <w:rPr>
                <w:rFonts w:ascii="Arial" w:hAnsi="Arial" w:cs="Arial" w:eastAsia="Arial"/>
                <w:color w:val="000000"/>
                <w:sz w:val="20"/>
              </w:rPr>
              <w:t xml:space="preserve">à</w:t>
            </w:r>
            <w:r>
              <w:rPr>
                <w:rFonts w:ascii="Arial" w:hAnsi="Arial" w:cs="Arial" w:eastAsia="Arial"/>
                <w:color w:val="000000"/>
                <w:sz w:val="20"/>
              </w:rPr>
              <w:t xml:space="preserve"> travers notamment l’appui au projet alimentaire territorial du Département, lauréat de l’appel à projet lancé par le ministère de l’agriculture et de l’alimentation : 109 362 euros pour lutter contre la précarité alimentaire réduire le gaspillage, éduquer</w:t>
            </w:r>
            <w:r>
              <w:rPr>
                <w:rFonts w:ascii="Arial" w:hAnsi="Arial" w:cs="Arial" w:eastAsia="Arial"/>
                <w:color w:val="000000"/>
                <w:sz w:val="20"/>
              </w:rPr>
              <w:t xml:space="preserve"> les plus jeunes, renforcer, diversifier et sécuriser l'approvisionnement local.</w:t>
            </w:r>
            <w:r/>
            <w:r/>
          </w:p>
          <w:p>
            <w:pPr>
              <w:contextualSpacing w:val="false"/>
              <w:ind w:left="0" w:right="0" w:firstLine="0"/>
              <w:jc w:val="both"/>
              <w:keepLines w:val="false"/>
              <w:keepNext w:val="false"/>
              <w:pageBreakBefore w:val="false"/>
              <w:spacing w:lineRule="atLeast" w:line="260" w:after="79" w:afterAutospacing="0" w:before="119" w:beforeAutospacing="0"/>
              <w:shd w:val="nil" w:fill="000000" w:color="000000"/>
              <w:widowControl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strike w:val="false"/>
                <w:spacing w:val="0"/>
                <w:position w:val="0"/>
                <w:sz w:val="20"/>
                <w:u w:val="none"/>
                <w:vertAlign w:val="baseline"/>
                <w:lang w:val="fr-FR" w:bidi="ar-SA" w:eastAsia="en-US"/>
              </w:rPr>
            </w:r>
            <w:r>
              <w:rPr>
                <w:rFonts w:ascii="Arial" w:hAnsi="Arial" w:cs="Arial" w:eastAsia="Arial"/>
                <w:color w:val="169B62"/>
                <w:sz w:val="22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z w:val="20"/>
              </w:rPr>
              <w:t xml:space="preserve">La réhabilitation de la friche des Fonteneilles à Beaucourt fait partie des nouvelles opérations lauréates du premier appel à projet régional « Recyclage foncier des friches » Ce projet de reconversion du site, porté par la Communauté de Communes du Sud Te</w:t>
            </w:r>
            <w:r>
              <w:rPr>
                <w:rFonts w:ascii="Arial" w:hAnsi="Arial" w:cs="Arial" w:eastAsia="Arial"/>
                <w:color w:val="000000"/>
                <w:sz w:val="20"/>
              </w:rPr>
              <w:t xml:space="preserve">rritoire, s’élève à plus de 4 millions d’euros. L’État apportera son concours à hauteur de 967 106 euros.</w:t>
            </w:r>
            <w:r/>
            <w:r/>
          </w:p>
          <w:p>
            <w:pPr>
              <w:pStyle w:val="739"/>
              <w:jc w:val="left"/>
              <w:spacing w:lineRule="auto" w:line="240" w:after="0" w:before="0"/>
              <w:rPr>
                <w:rFonts w:ascii="Marianne" w:hAnsi="Marianne"/>
              </w:rPr>
            </w:pP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3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1" w:name="__RefHeading___Toc2086_2485215072"/>
      <w:r/>
      <w:bookmarkEnd w:id="1"/>
      <w:r>
        <w:rPr>
          <w:rFonts w:ascii="Marianne" w:hAnsi="Marianne" w:cs="Marianne"/>
          <w:color w:val="00A65D"/>
          <w:sz w:val="40"/>
          <w:szCs w:val="40"/>
        </w:rPr>
        <w:t xml:space="preserve">1 - </w:t>
      </w:r>
      <w:hyperlink r:id="rId13" w:tooltip="https://www.economie.gouv.fr/plan-de-relance/profils/entreprises/bonus-ecologique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Bonus écologique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293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258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226 (6%)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5 384 (3%)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4 720 (3%)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4 102 (3%)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174 963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155 933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135 576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4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3" w:name="__RefHeading___Toc2088_2485215072"/>
      <w:r/>
      <w:bookmarkEnd w:id="3"/>
      <w:r>
        <w:rPr>
          <w:rFonts w:ascii="Marianne" w:hAnsi="Marianne" w:cs="Marianne"/>
          <w:color w:val="00A65D"/>
          <w:sz w:val="40"/>
          <w:szCs w:val="40"/>
        </w:rPr>
        <w:t xml:space="preserve">2 - </w:t>
      </w:r>
      <w:hyperlink r:id="rId14" w:tooltip="https://www.economie.gouv.fr/plan-de-relance/profils/particuliers/maprimerenov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MaPrimeRénov'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600"/>
        <w:gridCol w:w="4432"/>
        <w:gridCol w:w="2385"/>
      </w:tblGrid>
      <w:tr>
        <w:trPr>
          <w:trHeight w:val="400"/>
        </w:trPr>
        <w:tc>
          <w:tcPr>
            <w:gridSpan w:val="3"/>
            <w:shd w:val="clear" w:color="auto" w:fill="auto"/>
            <w:tcW w:w="9417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2600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238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2600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443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568 (4%)  </w:t>
            </w:r>
            <w:r/>
          </w:p>
        </w:tc>
        <w:tc>
          <w:tcPr>
            <w:shd w:val="clear" w:fill="FFFFFF" w:color="FFFFFF"/>
            <w:tcW w:w="238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11.1 M€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2600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443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421 (4%)  </w:t>
            </w:r>
            <w:r/>
          </w:p>
        </w:tc>
        <w:tc>
          <w:tcPr>
            <w:shd w:val="clear" w:fill="FFFFFF" w:color="FFFFFF"/>
            <w:tcW w:w="238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9.2 M€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2600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443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273 (4%)  </w:t>
            </w:r>
            <w:r/>
          </w:p>
        </w:tc>
        <w:tc>
          <w:tcPr>
            <w:shd w:val="clear" w:fill="FFFFFF" w:color="FFFFFF"/>
            <w:tcW w:w="238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7.6 M€ (4%)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600"/>
        <w:gridCol w:w="4442"/>
        <w:gridCol w:w="2375"/>
      </w:tblGrid>
      <w:tr>
        <w:trPr>
          <w:trHeight w:val="400"/>
        </w:trPr>
        <w:tc>
          <w:tcPr>
            <w:gridSpan w:val="3"/>
            <w:shd w:val="clear" w:color="auto" w:fill="auto"/>
            <w:tcW w:w="9417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2600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237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2600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444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13 115 (6%)  </w:t>
            </w:r>
            <w:r/>
          </w:p>
        </w:tc>
        <w:tc>
          <w:tcPr>
            <w:shd w:val="clear" w:fill="FFFFFF" w:color="FFFFFF"/>
            <w:tcW w:w="237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256.2 M€ (7%)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2600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444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9 736 (6%)  </w:t>
            </w:r>
            <w:r/>
          </w:p>
        </w:tc>
        <w:tc>
          <w:tcPr>
            <w:shd w:val="clear" w:fill="FFFFFF" w:color="FFFFFF"/>
            <w:tcW w:w="237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212.1 M€ (7%)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2600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444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6 425 (6%)  </w:t>
            </w:r>
            <w:r/>
          </w:p>
        </w:tc>
        <w:tc>
          <w:tcPr>
            <w:shd w:val="clear" w:fill="FFFFFF" w:color="FFFFFF"/>
            <w:tcW w:w="237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175.1 M€ (6%)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95"/>
        <w:gridCol w:w="4446"/>
        <w:gridCol w:w="2375"/>
      </w:tblGrid>
      <w:tr>
        <w:trPr>
          <w:trHeight w:val="400"/>
        </w:trPr>
        <w:tc>
          <w:tcPr>
            <w:gridSpan w:val="3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259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6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237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259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4446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226 749  </w:t>
            </w:r>
            <w:r/>
          </w:p>
        </w:tc>
        <w:tc>
          <w:tcPr>
            <w:shd w:val="clear" w:fill="FFFFFF" w:color="FFFFFF"/>
            <w:tcW w:w="237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3844.0 M€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259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4446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173 481  </w:t>
            </w:r>
            <w:r/>
          </w:p>
        </w:tc>
        <w:tc>
          <w:tcPr>
            <w:shd w:val="clear" w:fill="FFFFFF" w:color="FFFFFF"/>
            <w:tcW w:w="237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3254.2 M€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259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4446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116 718  </w:t>
            </w:r>
            <w:r/>
          </w:p>
        </w:tc>
        <w:tc>
          <w:tcPr>
            <w:shd w:val="clear" w:fill="FFFFFF" w:color="FFFFFF"/>
            <w:tcW w:w="237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2695.0 M€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5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5" w:name="__RefHeading___Toc2090_2485215072"/>
      <w:r/>
      <w:bookmarkEnd w:id="5"/>
      <w:r>
        <w:rPr>
          <w:rFonts w:ascii="Marianne" w:hAnsi="Marianne" w:cs="Marianne"/>
          <w:color w:val="00A65D"/>
          <w:sz w:val="40"/>
          <w:szCs w:val="40"/>
        </w:rPr>
        <w:t xml:space="preserve">3 - </w:t>
      </w:r>
      <w:hyperlink r:id="rId15" w:tooltip="https://www.entreprises.gouv.fr/fr/actualites/industrie/fonds-de-soutien-aux-filieres-automobile-et-aeronautique-205-nouveaux-laureats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Modernisation des filières automobiles et aéronautiques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 (8%)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 (8%)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 (8%)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60 (9%)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60 (9%)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51 (10%)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641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641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531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6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7" w:name="__RefHeading___Toc2092_2485215072"/>
      <w:r/>
      <w:bookmarkEnd w:id="7"/>
      <w:r>
        <w:rPr>
          <w:rFonts w:ascii="Marianne" w:hAnsi="Marianne" w:cs="Marianne"/>
          <w:color w:val="00A65D"/>
          <w:sz w:val="40"/>
          <w:szCs w:val="40"/>
        </w:rPr>
        <w:t xml:space="preserve">4 - </w:t>
      </w:r>
      <w:hyperlink r:id="rId16" w:tooltip="https://www.economie.gouv.fr/plan-de-relance/profils/entreprises/prime-conversion-soutien-aquisition-agro-equipements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Prime à la conversion des agroéquipements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 (1%)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 (1%)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413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413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8 277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8 277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7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9" w:name="__RefHeading___Toc2094_2485215072"/>
      <w:r/>
      <w:bookmarkEnd w:id="9"/>
      <w:r>
        <w:rPr>
          <w:rFonts w:ascii="Marianne" w:hAnsi="Marianne" w:cs="Marianne"/>
          <w:color w:val="00A65D"/>
          <w:sz w:val="40"/>
          <w:szCs w:val="40"/>
        </w:rPr>
        <w:t xml:space="preserve">5 - </w:t>
      </w:r>
      <w:hyperlink r:id="rId17" w:tooltip="https://www.ecologie.gouv.fr/france-relance-bonus-ecologique-et-prime-conversion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Prime à la conversion des véhicules légers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355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344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327 (5%)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7 806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7 472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7 154 (4%)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188 317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179 763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170 873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8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11" w:name="__RefHeading___Toc2096_2485215072"/>
      <w:r/>
      <w:bookmarkEnd w:id="11"/>
      <w:r>
        <w:rPr>
          <w:rFonts w:ascii="Marianne" w:hAnsi="Marianne" w:cs="Marianne"/>
          <w:color w:val="00A65D"/>
          <w:sz w:val="40"/>
          <w:szCs w:val="40"/>
        </w:rPr>
        <w:t xml:space="preserve">6 - </w:t>
      </w:r>
      <w:hyperlink r:id="rId18" w:tooltip="https://www.economie.gouv.fr/plan-de-relance/profils/entreprises/fonds-recyclage-friches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Réhabilitation Friches (urbaines et sites pollués)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9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13" w:name="__RefHeading___Toc2098_2485215072"/>
      <w:r/>
      <w:bookmarkEnd w:id="13"/>
      <w:r>
        <w:rPr>
          <w:rFonts w:ascii="Marianne" w:hAnsi="Marianne" w:cs="Marianne"/>
          <w:color w:val="00A65D"/>
          <w:sz w:val="40"/>
          <w:szCs w:val="40"/>
        </w:rPr>
        <w:t xml:space="preserve">7 - </w:t>
      </w:r>
      <w:hyperlink r:id="rId19" w:tooltip="https://www.economie.gouv.fr/plan-de-relance/profils/administrations/renovation-energetique-batiments-publics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Rénovation bâtiments Etat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10 (10%)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9 (12%)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 (15%)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99 (7%)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74 (7%)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40 (7%)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1 420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995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587  </w:t>
            </w:r>
            <w:r/>
          </w:p>
        </w:tc>
      </w:tr>
    </w:tbl>
    <w:p>
      <w:pPr>
        <w:pStyle w:val="695"/>
        <w:spacing w:after="160" w:before="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W w:w="9417" w:type="dxa"/>
        <w:tblInd w:w="-5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417"/>
      </w:tblGrid>
      <w:tr>
        <w:trPr>
          <w:trHeight w:val="2433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417" w:type="dxa"/>
            <w:textDirection w:val="lrTb"/>
            <w:noWrap w:val="false"/>
          </w:tcPr>
          <w:p>
            <w:pPr>
              <w:pStyle w:val="734"/>
              <w:spacing w:lineRule="auto" w:line="240"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  <w:r/>
          </w:p>
          <w:p>
            <w:pPr>
              <w:pStyle w:val="739"/>
              <w:spacing w:lineRule="auto" w:line="240" w:after="0" w:before="0"/>
              <w:rPr>
                <w:rFonts w:cs="Calibri" w:eastAsia="Calibri"/>
                <w:color w:val="00000A"/>
              </w:rPr>
            </w:pPr>
            <w:r>
              <w:rPr>
                <w:rFonts w:cs="Calibri" w:eastAsia="Calibri"/>
                <w:b/>
                <w:bCs/>
                <w:color w:val="00000A"/>
              </w:rPr>
              <w:t xml:space="preserve">Rénovation énergétique: au 02/07</w:t>
            </w:r>
            <w:r>
              <w:rPr>
                <w:rFonts w:cs="Calibri" w:eastAsia="Calibri"/>
                <w:b/>
                <w:bCs/>
                <w:color w:val="00000A"/>
              </w:rPr>
            </w:r>
            <w:r/>
          </w:p>
          <w:p>
            <w:pPr>
              <w:pStyle w:val="739"/>
              <w:numPr>
                <w:ilvl w:val="0"/>
                <w:numId w:val="27"/>
              </w:numPr>
              <w:spacing w:lineRule="auto" w:line="240" w:after="0" w:before="0"/>
              <w:rPr>
                <w:rFonts w:ascii="Calibri" w:hAnsi="Calibri" w:cs="Calibri" w:eastAsia="Calibri"/>
                <w:color w:val="00000A"/>
              </w:rPr>
            </w:pPr>
            <w:r>
              <w:rPr>
                <w:rFonts w:cs="Calibri" w:eastAsia="Calibri"/>
                <w:b/>
                <w:bCs/>
                <w:color w:val="00000A"/>
              </w:rPr>
              <w:t xml:space="preserve">des bâtiments de l’UTBM : 11 opérations pour un montant de 5,18 M €</w:t>
            </w:r>
            <w:r>
              <w:rPr>
                <w:rFonts w:ascii="Calibri" w:hAnsi="Calibri" w:cs="Calibri" w:eastAsia="Calibri"/>
                <w:b/>
                <w:color w:val="00000A"/>
              </w:rPr>
            </w:r>
            <w:r/>
          </w:p>
          <w:p>
            <w:pPr>
              <w:pStyle w:val="739"/>
              <w:numPr>
                <w:ilvl w:val="0"/>
                <w:numId w:val="27"/>
              </w:numPr>
              <w:spacing w:lineRule="auto" w:line="240" w:after="0" w:before="0"/>
              <w:rPr>
                <w:rFonts w:cs="Calibri" w:eastAsia="Calibri"/>
                <w:color w:val="00000A"/>
              </w:rPr>
            </w:pPr>
            <w:r>
              <w:rPr>
                <w:rFonts w:cs="Calibri" w:eastAsia="Calibri"/>
                <w:b/>
                <w:bCs/>
                <w:color w:val="00000A"/>
              </w:rPr>
              <w:t xml:space="preserve">des bâtiments de la Préfecture : 4 opérations pour un montant de 250 000 €</w:t>
            </w:r>
            <w:r>
              <w:rPr>
                <w:rFonts w:cs="Calibri" w:eastAsia="Calibri"/>
                <w:b/>
                <w:bCs/>
                <w:color w:val="00000A"/>
              </w:rPr>
            </w:r>
            <w:r/>
          </w:p>
          <w:p>
            <w:pPr>
              <w:pStyle w:val="739"/>
              <w:numPr>
                <w:ilvl w:val="0"/>
                <w:numId w:val="27"/>
              </w:numPr>
              <w:spacing w:lineRule="auto" w:line="240" w:after="0" w:before="0"/>
              <w:rPr>
                <w:rFonts w:ascii="Calibri" w:hAnsi="Calibri" w:cs="Calibri" w:eastAsia="Calibri"/>
                <w:color w:val="00000A"/>
              </w:rPr>
            </w:pPr>
            <w:r>
              <w:rPr>
                <w:rFonts w:cs="Calibri" w:eastAsia="Calibri"/>
                <w:b/>
                <w:bCs/>
                <w:color w:val="00000A"/>
              </w:rPr>
              <w:t xml:space="preserve">des bâtiments de la DDT: 2 opérations pour un montant de 111 744 €</w:t>
            </w:r>
            <w:r>
              <w:rPr>
                <w:rFonts w:ascii="Calibri" w:hAnsi="Calibri" w:cs="Calibri" w:eastAsia="Calibri"/>
                <w:b/>
                <w:color w:val="00000A"/>
              </w:rPr>
            </w:r>
            <w:r/>
          </w:p>
          <w:p>
            <w:pPr>
              <w:pStyle w:val="739"/>
              <w:numPr>
                <w:ilvl w:val="0"/>
                <w:numId w:val="27"/>
              </w:numPr>
              <w:spacing w:lineRule="auto" w:line="240" w:after="0" w:before="0"/>
              <w:rPr>
                <w:rFonts w:ascii="Calibri" w:hAnsi="Calibri" w:cs="Calibri" w:eastAsia="Calibri"/>
                <w:color w:val="00000A"/>
              </w:rPr>
            </w:pPr>
            <w:r>
              <w:rPr>
                <w:rFonts w:cs="Calibri" w:eastAsia="Calibri"/>
                <w:b/>
                <w:bCs/>
                <w:color w:val="00000A"/>
              </w:rPr>
              <w:t xml:space="preserve">des bâtiments de la DDSCP : 5 opérations pour un montant de 98 806 €</w:t>
            </w:r>
            <w:r>
              <w:rPr>
                <w:rFonts w:ascii="Calibri" w:hAnsi="Calibri" w:cs="Calibri" w:eastAsia="Calibri"/>
                <w:b/>
                <w:color w:val="00000A"/>
              </w:rPr>
            </w:r>
            <w:r/>
          </w:p>
          <w:p>
            <w:pPr>
              <w:pStyle w:val="739"/>
              <w:jc w:val="left"/>
              <w:spacing w:lineRule="auto" w:line="240" w:after="0" w:before="0"/>
            </w:pPr>
            <w:r/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5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697"/>
        <w:numPr>
          <w:ilvl w:val="1"/>
          <w:numId w:val="10"/>
        </w:numPr>
        <w:rPr>
          <w:sz w:val="44"/>
          <w:szCs w:val="44"/>
        </w:rPr>
      </w:pPr>
      <w:r/>
      <w:bookmarkStart w:id="15" w:name="__RefHeading___Toc2100_2485215072"/>
      <w:r/>
      <w:bookmarkEnd w:id="15"/>
      <w:r>
        <w:rPr>
          <w:rFonts w:ascii="Marianne" w:hAnsi="Marianne"/>
          <w:sz w:val="48"/>
          <w:szCs w:val="48"/>
        </w:rPr>
        <w:t xml:space="preserve">Volet 2 : Compétitivité</w:t>
      </w:r>
      <w:r/>
    </w:p>
    <w:tbl>
      <w:tblPr>
        <w:tblW w:w="9072" w:type="dxa"/>
        <w:tblInd w:w="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072"/>
      </w:tblGrid>
      <w:tr>
        <w:trPr>
          <w:trHeight w:val="8055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072" w:type="dxa"/>
            <w:textDirection w:val="lrTb"/>
            <w:noWrap w:val="false"/>
          </w:tcPr>
          <w:p>
            <w:pPr>
              <w:pStyle w:val="739"/>
              <w:jc w:val="left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Calibri" w:eastAsia="Calibr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Marianne" w:hAnsi="Marianne" w:cs="Calibri" w:eastAsia="Calibr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  <w:r/>
          </w:p>
          <w:p>
            <w:pPr>
              <w:contextualSpacing w:val="false"/>
              <w:ind w:left="0" w:right="0" w:firstLine="0"/>
              <w:jc w:val="both"/>
              <w:keepLines w:val="false"/>
              <w:keepNext w:val="false"/>
              <w:pageBreakBefore w:val="false"/>
              <w:spacing w:lineRule="atLeast" w:line="277" w:after="79" w:afterAutospacing="0" w:before="119" w:beforeAutospacing="0"/>
              <w:shd w:val="nil" w:fill="000000" w:color="000000"/>
              <w:widowControl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  <w:r/>
            <w:r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strike w:val="false"/>
                <w:spacing w:val="0"/>
                <w:position w:val="0"/>
                <w:sz w:val="20"/>
                <w:u w:val="none"/>
                <w:vertAlign w:val="baseline"/>
                <w:lang w:val="fr-FR" w:bidi="ar-SA" w:eastAsia="en-US"/>
              </w:rPr>
              <w:t xml:space="preserve">Le soutien de France relance à l’industrie terrifortai</w:t>
            </w:r>
            <w:r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strike w:val="false"/>
                <w:spacing w:val="0"/>
                <w:position w:val="0"/>
                <w:sz w:val="20"/>
                <w:u w:val="none"/>
                <w:vertAlign w:val="baseline"/>
                <w:lang w:val="fr-FR" w:bidi="ar-SA" w:eastAsia="en-US"/>
              </w:rPr>
              <w:t xml:space="preserve">ne </w:t>
            </w:r>
            <w:r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strike w:val="false"/>
                <w:spacing w:val="0"/>
                <w:position w:val="0"/>
                <w:sz w:val="20"/>
                <w:u w:val="none"/>
                <w:vertAlign w:val="baseline"/>
                <w:lang w:val="fr-FR" w:bidi="ar-SA" w:eastAsia="en-US"/>
              </w:rPr>
              <w:t xml:space="preserve">:</w:t>
            </w:r>
            <w:r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strike w:val="false"/>
                <w:spacing w:val="0"/>
                <w:position w:val="0"/>
                <w:sz w:val="20"/>
                <w:u w:val="none"/>
                <w:vertAlign w:val="baseline"/>
                <w:lang w:val="fr-FR" w:bidi="ar-SA" w:eastAsia="en-US"/>
              </w:rPr>
              <w:t xml:space="preserve"> 1</w:t>
            </w:r>
            <w:r>
              <w:rPr>
                <w:rFonts w:ascii="Arial" w:hAnsi="Arial" w:cs="Arial" w:eastAsia="Arial"/>
                <w:color w:val="000000"/>
                <w:sz w:val="20"/>
              </w:rPr>
              <w:t xml:space="preserve">3 entreprises du département ont bénéficié de 8,579 millions d’euros pour réaliser 47,9 millions d’euros d’investissement. Un soutien qui a aussi permis la création ou le maintien de plus de 1300 emplois :</w:t>
            </w:r>
            <w:r/>
            <w:r/>
          </w:p>
          <w:p>
            <w:pPr>
              <w:pStyle w:val="29"/>
              <w:numPr>
                <w:ilvl w:val="0"/>
                <w:numId w:val="28"/>
              </w:numPr>
              <w:ind w:right="0"/>
              <w:jc w:val="both"/>
              <w:spacing w:lineRule="atLeast" w:line="277" w:after="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A"/>
                <w:sz w:val="20"/>
              </w:rPr>
              <w:t xml:space="preserve">7 entreprises à hauteur de 3,365 millions d’euros au titre du fonds d’accélération des investissements industriels : Macplus (800 000€), H2SYS </w:t>
            </w:r>
            <w:r>
              <w:rPr>
                <w:rFonts w:ascii="Arial" w:hAnsi="Arial" w:cs="Arial" w:eastAsia="Arial"/>
                <w:color w:val="00000A"/>
                <w:sz w:val="20"/>
              </w:rPr>
              <w:t xml:space="preserve">(800 000€)</w:t>
            </w:r>
            <w:r>
              <w:rPr>
                <w:rFonts w:ascii="Arial" w:hAnsi="Arial" w:cs="Arial" w:eastAsia="Arial"/>
                <w:color w:val="00000A"/>
                <w:sz w:val="20"/>
              </w:rPr>
              <w:t xml:space="preserve">, Usiduc</w:t>
            </w:r>
            <w:r>
              <w:rPr>
                <w:rFonts w:ascii="Arial" w:hAnsi="Arial" w:cs="Arial" w:eastAsia="Arial"/>
                <w:color w:val="00000A"/>
                <w:sz w:val="20"/>
              </w:rPr>
              <w:t xml:space="preserve"> (750 000€)</w:t>
            </w:r>
            <w:r>
              <w:rPr>
                <w:rFonts w:ascii="Arial" w:hAnsi="Arial" w:cs="Arial" w:eastAsia="Arial"/>
                <w:color w:val="00000A"/>
                <w:sz w:val="20"/>
              </w:rPr>
              <w:t xml:space="preserve">, Mécadep </w:t>
            </w:r>
            <w:r>
              <w:rPr>
                <w:rFonts w:ascii="Arial" w:hAnsi="Arial" w:cs="Arial" w:eastAsia="Arial"/>
                <w:color w:val="00000A"/>
                <w:sz w:val="20"/>
              </w:rPr>
              <w:t xml:space="preserve">(250 000€)</w:t>
            </w:r>
            <w:r>
              <w:rPr>
                <w:rFonts w:ascii="Arial" w:hAnsi="Arial" w:cs="Arial" w:eastAsia="Arial"/>
                <w:color w:val="00000A"/>
                <w:sz w:val="20"/>
              </w:rPr>
              <w:t xml:space="preserve">, MGO LePaul </w:t>
            </w:r>
            <w:r>
              <w:rPr>
                <w:rFonts w:ascii="Arial" w:hAnsi="Arial" w:cs="Arial" w:eastAsia="Arial"/>
                <w:color w:val="00000A"/>
                <w:sz w:val="20"/>
              </w:rPr>
              <w:t xml:space="preserve">(250 000€)</w:t>
            </w:r>
            <w:r>
              <w:rPr>
                <w:rFonts w:ascii="Arial" w:hAnsi="Arial" w:cs="Arial" w:eastAsia="Arial"/>
                <w:color w:val="00000A"/>
                <w:sz w:val="20"/>
              </w:rPr>
              <w:t xml:space="preserve">, Ananké </w:t>
            </w:r>
            <w:r>
              <w:rPr>
                <w:rFonts w:ascii="Arial" w:hAnsi="Arial" w:cs="Arial" w:eastAsia="Arial"/>
                <w:color w:val="00000A"/>
                <w:sz w:val="20"/>
              </w:rPr>
              <w:t xml:space="preserve">(565 000€)</w:t>
            </w:r>
            <w:r>
              <w:rPr>
                <w:rFonts w:ascii="Arial" w:hAnsi="Arial" w:cs="Arial" w:eastAsia="Arial"/>
                <w:color w:val="00000A"/>
                <w:sz w:val="20"/>
              </w:rPr>
              <w:t xml:space="preserve">, Cartonnage du Château </w:t>
            </w:r>
            <w:r>
              <w:rPr>
                <w:rFonts w:ascii="Arial" w:hAnsi="Arial" w:cs="Arial" w:eastAsia="Arial"/>
                <w:color w:val="00000A"/>
                <w:sz w:val="20"/>
              </w:rPr>
              <w:t xml:space="preserve">(615 000€)</w:t>
            </w:r>
            <w:r>
              <w:rPr>
                <w:rFonts w:ascii="Arial" w:hAnsi="Arial" w:cs="Arial" w:eastAsia="Arial"/>
                <w:color w:val="00000A"/>
                <w:sz w:val="20"/>
              </w:rPr>
              <w:t xml:space="preserve">.</w:t>
            </w:r>
            <w:r/>
            <w:r/>
          </w:p>
          <w:p>
            <w:pPr>
              <w:pStyle w:val="29"/>
              <w:numPr>
                <w:ilvl w:val="0"/>
                <w:numId w:val="28"/>
              </w:numPr>
              <w:ind w:right="0"/>
              <w:jc w:val="both"/>
              <w:spacing w:lineRule="atLeast" w:line="277" w:after="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A"/>
                <w:sz w:val="20"/>
              </w:rPr>
              <w:t xml:space="preserve">5 entreprises à hauteur de 4,414 millions d’euros au titre du fonds de modernisation automobile : Lisi Automotive </w:t>
            </w:r>
            <w:r>
              <w:rPr>
                <w:rFonts w:ascii="Arial" w:hAnsi="Arial" w:cs="Arial" w:eastAsia="Arial"/>
                <w:color w:val="00000A"/>
                <w:sz w:val="20"/>
              </w:rPr>
              <w:t xml:space="preserve">(800 000€)</w:t>
            </w:r>
            <w:r>
              <w:rPr>
                <w:rFonts w:ascii="Arial" w:hAnsi="Arial" w:cs="Arial" w:eastAsia="Arial"/>
                <w:color w:val="00000A"/>
                <w:sz w:val="20"/>
              </w:rPr>
              <w:t xml:space="preserve">, SMRC </w:t>
            </w:r>
            <w:r>
              <w:rPr>
                <w:rFonts w:ascii="Arial" w:hAnsi="Arial" w:cs="Arial" w:eastAsia="Arial"/>
                <w:color w:val="00000A"/>
                <w:sz w:val="20"/>
              </w:rPr>
              <w:t xml:space="preserve">(800 000€)</w:t>
            </w:r>
            <w:r>
              <w:rPr>
                <w:rFonts w:ascii="Arial" w:hAnsi="Arial" w:cs="Arial" w:eastAsia="Arial"/>
                <w:color w:val="00000A"/>
                <w:sz w:val="20"/>
              </w:rPr>
              <w:t xml:space="preserve">, Fonderie rapide belfortaine </w:t>
            </w:r>
            <w:r>
              <w:rPr>
                <w:rFonts w:ascii="Arial" w:hAnsi="Arial" w:cs="Arial" w:eastAsia="Arial"/>
                <w:color w:val="00000A"/>
                <w:sz w:val="20"/>
              </w:rPr>
              <w:t xml:space="preserve">(800 000€)</w:t>
            </w:r>
            <w:r>
              <w:rPr>
                <w:rFonts w:ascii="Arial" w:hAnsi="Arial" w:cs="Arial" w:eastAsia="Arial"/>
                <w:color w:val="00000A"/>
                <w:sz w:val="20"/>
              </w:rPr>
              <w:t xml:space="preserve">, Adler </w:t>
            </w:r>
            <w:r>
              <w:rPr>
                <w:rFonts w:ascii="Arial" w:hAnsi="Arial" w:cs="Arial" w:eastAsia="Arial"/>
                <w:color w:val="00000A"/>
                <w:sz w:val="20"/>
              </w:rPr>
              <w:t xml:space="preserve">(784 000€)</w:t>
            </w:r>
            <w:r>
              <w:rPr>
                <w:rFonts w:ascii="Arial" w:hAnsi="Arial" w:cs="Arial" w:eastAsia="Arial"/>
                <w:color w:val="00000A"/>
                <w:sz w:val="20"/>
              </w:rPr>
              <w:t xml:space="preserve">, MS Innov </w:t>
            </w:r>
            <w:r>
              <w:rPr>
                <w:rFonts w:ascii="Arial" w:hAnsi="Arial" w:cs="Arial" w:eastAsia="Arial"/>
                <w:color w:val="00000A"/>
                <w:sz w:val="20"/>
              </w:rPr>
              <w:t xml:space="preserve">(1 230 389€)</w:t>
            </w:r>
            <w:r/>
            <w:r/>
          </w:p>
          <w:p>
            <w:pPr>
              <w:pStyle w:val="29"/>
              <w:numPr>
                <w:ilvl w:val="0"/>
                <w:numId w:val="28"/>
              </w:numPr>
              <w:ind w:right="0"/>
              <w:jc w:val="both"/>
              <w:spacing w:lineRule="atLeast" w:line="277" w:after="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A"/>
                <w:sz w:val="20"/>
              </w:rPr>
              <w:t xml:space="preserve">1 entreprise belfortaine à hauteur de 800 000 euros au titre du fonds de modernisation et diversification de la filière aéronautique : Avions Mauboussin. </w:t>
            </w:r>
            <w:r/>
            <w:r/>
          </w:p>
          <w:p>
            <w:pPr>
              <w:contextualSpacing w:val="false"/>
              <w:ind w:left="0" w:right="0" w:firstLine="0"/>
              <w:jc w:val="both"/>
              <w:keepLines w:val="false"/>
              <w:keepNext w:val="false"/>
              <w:pageBreakBefore w:val="false"/>
              <w:spacing w:lineRule="atLeast" w:line="260" w:after="79" w:afterAutospacing="0" w:before="119" w:beforeAutospacing="0"/>
              <w:shd w:val="nil" w:fill="000000" w:color="000000"/>
              <w:widowControl/>
              <w:rPr>
                <w:rFonts w:ascii="Arial" w:hAnsi="Arial" w:cs="Arial" w:eastAsia="Arial"/>
                <w:lang w:val="fr-FR" w:bidi="ar-SA" w:eastAsia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 w:eastAsia="Arial"/>
                <w:color w:val="00000A"/>
                <w:sz w:val="20"/>
              </w:rPr>
              <w:t xml:space="preserve">A ces crédits s’ajoutent</w:t>
            </w:r>
            <w:r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strike w:val="false"/>
                <w:spacing w:val="0"/>
                <w:position w:val="0"/>
                <w:sz w:val="20"/>
                <w:u w:val="none"/>
                <w:vertAlign w:val="baseline"/>
                <w:lang w:val="fr-FR" w:bidi="ar-SA" w:eastAsia="en-US"/>
              </w:rPr>
              <w:t xml:space="preserve"> </w:t>
            </w:r>
            <w:r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strike w:val="false"/>
                <w:spacing w:val="0"/>
                <w:position w:val="0"/>
                <w:sz w:val="20"/>
                <w:u w:val="none"/>
                <w:vertAlign w:val="baseline"/>
                <w:lang w:val="fr-FR" w:bidi="ar-SA" w:eastAsia="en-US"/>
              </w:rPr>
              <w:t xml:space="preserve">les aides octroyées pour accompagner les entreprises vers l’industrie du futur </w:t>
            </w:r>
            <w:r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strike w:val="false"/>
                <w:spacing w:val="0"/>
                <w:position w:val="0"/>
                <w:sz w:val="20"/>
                <w:u w:val="none"/>
                <w:vertAlign w:val="baseline"/>
                <w:lang w:val="fr-FR" w:bidi="ar-SA" w:eastAsia="en-US"/>
              </w:rPr>
              <w:t xml:space="preserve">:</w:t>
            </w:r>
            <w:r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strike w:val="false"/>
                <w:spacing w:val="0"/>
                <w:position w:val="0"/>
                <w:sz w:val="20"/>
                <w:u w:val="none"/>
                <w:vertAlign w:val="baseline"/>
                <w:lang w:val="fr-FR" w:bidi="ar-SA" w:eastAsia="en-US"/>
              </w:rPr>
              <w:t xml:space="preserve">plus de 30 dossiers déposés représentant 10,24 millions d’euros d’investissements. Le Territoire de Belfort compte d’ores et déjà  24  lauréats pour un montant d’aides de 2 932 542 €</w:t>
            </w:r>
            <w:r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strike w:val="false"/>
                <w:spacing w:val="0"/>
                <w:position w:val="0"/>
                <w:sz w:val="20"/>
                <w:u w:val="none"/>
                <w:vertAlign w:val="baseline"/>
                <w:lang w:val="fr-FR" w:bidi="ar-SA" w:eastAsia="en-US"/>
              </w:rPr>
              <w:t xml:space="preserve">. </w:t>
            </w:r>
            <w:r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strike w:val="false"/>
                <w:spacing w:val="0"/>
                <w:position w:val="0"/>
                <w:sz w:val="20"/>
                <w:szCs w:val="22"/>
                <w:u w:val="none"/>
                <w:vertAlign w:val="baseline"/>
                <w:lang w:val="fr-FR" w:bidi="ar-SA" w:eastAsia="en-US"/>
              </w:rPr>
            </w:r>
            <w:r/>
          </w:p>
          <w:p>
            <w:pPr>
              <w:contextualSpacing w:val="false"/>
              <w:ind w:left="0" w:right="0" w:firstLine="0"/>
              <w:jc w:val="both"/>
              <w:keepLines w:val="false"/>
              <w:keepNext w:val="false"/>
              <w:pageBreakBefore w:val="false"/>
              <w:spacing w:lineRule="atLeast" w:line="260" w:after="79" w:afterAutospacing="0" w:before="119" w:beforeAutospacing="0"/>
              <w:shd w:val="nil" w:fill="000000" w:color="000000"/>
              <w:widowControl/>
              <w:rPr>
                <w:rFonts w:ascii="Arial" w:hAnsi="Arial" w:cs="Arial" w:eastAsia="Arial"/>
                <w:lang w:val="fr-FR" w:bidi="ar-SA" w:eastAsia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strike w:val="false"/>
                <w:spacing w:val="0"/>
                <w:position w:val="0"/>
                <w:sz w:val="20"/>
                <w:u w:val="none"/>
                <w:vertAlign w:val="baseline"/>
                <w:lang w:val="fr-FR" w:bidi="ar-SA" w:eastAsia="en-US"/>
              </w:rPr>
            </w:r>
            <w:r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strike w:val="false"/>
                <w:spacing w:val="0"/>
                <w:position w:val="0"/>
                <w:sz w:val="20"/>
                <w:u w:val="none"/>
                <w:vertAlign w:val="baseline"/>
                <w:lang w:val="fr-FR" w:bidi="ar-SA" w:eastAsia="en-US"/>
              </w:rPr>
              <w:t xml:space="preserve">Conception Fabrication Porduit Sécurité : 226 000€, </w:t>
            </w:r>
            <w:r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strike w:val="false"/>
                <w:spacing w:val="0"/>
                <w:position w:val="0"/>
                <w:sz w:val="20"/>
                <w:u w:val="none"/>
                <w:vertAlign w:val="baseline"/>
                <w:lang w:val="fr-FR" w:bidi="ar-SA" w:eastAsia="en-US"/>
              </w:rPr>
              <w:t xml:space="preserve">Courtot Matériaux : 89 240 €, </w:t>
            </w:r>
            <w:r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strike w:val="false"/>
                <w:spacing w:val="0"/>
                <w:position w:val="0"/>
                <w:sz w:val="20"/>
                <w:u w:val="none"/>
                <w:vertAlign w:val="baseline"/>
                <w:lang w:val="fr-FR" w:bidi="ar-SA" w:eastAsia="en-US"/>
              </w:rPr>
              <w:t xml:space="preserve">Selectarc : 42 676€, </w:t>
            </w:r>
            <w:r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strike w:val="false"/>
                <w:spacing w:val="0"/>
                <w:position w:val="0"/>
                <w:sz w:val="20"/>
                <w:u w:val="none"/>
                <w:vertAlign w:val="baseline"/>
                <w:lang w:val="fr-FR" w:bidi="ar-SA" w:eastAsia="en-US"/>
              </w:rPr>
              <w:t xml:space="preserve">Bâches Laily : 79 203€, </w:t>
            </w:r>
            <w:r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strike w:val="false"/>
                <w:spacing w:val="0"/>
                <w:position w:val="0"/>
                <w:sz w:val="20"/>
                <w:u w:val="none"/>
                <w:vertAlign w:val="baseline"/>
                <w:lang w:val="fr-FR" w:bidi="ar-SA" w:eastAsia="en-US"/>
              </w:rPr>
              <w:t xml:space="preserve">Outil Coupant Numérique : 163 229€, </w:t>
            </w:r>
            <w:r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strike w:val="false"/>
                <w:spacing w:val="0"/>
                <w:position w:val="0"/>
                <w:sz w:val="20"/>
                <w:u w:val="none"/>
                <w:vertAlign w:val="baseline"/>
                <w:lang w:val="fr-FR" w:bidi="ar-SA" w:eastAsia="en-US"/>
              </w:rPr>
              <w:t xml:space="preserve">Mabi: </w:t>
            </w:r>
            <w:r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strike w:val="false"/>
                <w:spacing w:val="0"/>
                <w:position w:val="0"/>
                <w:sz w:val="20"/>
                <w:u w:val="none"/>
                <w:vertAlign w:val="baseline"/>
                <w:lang w:val="fr-FR" w:bidi="ar-SA" w:eastAsia="en-US"/>
              </w:rPr>
              <w:t xml:space="preserve">41 960€, </w:t>
            </w:r>
            <w:r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strike w:val="false"/>
                <w:spacing w:val="0"/>
                <w:position w:val="0"/>
                <w:sz w:val="20"/>
                <w:u w:val="none"/>
                <w:vertAlign w:val="baseline"/>
                <w:lang w:val="fr-FR" w:bidi="ar-SA" w:eastAsia="en-US"/>
              </w:rPr>
              <w:t xml:space="preserve">MB Concept : 35 816€, </w:t>
            </w:r>
            <w:r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strike w:val="false"/>
                <w:spacing w:val="0"/>
                <w:position w:val="0"/>
                <w:sz w:val="20"/>
                <w:u w:val="none"/>
                <w:vertAlign w:val="baseline"/>
                <w:lang w:val="fr-FR" w:bidi="ar-SA" w:eastAsia="en-US"/>
              </w:rPr>
              <w:t xml:space="preserve">Ultralu : 60 422€, Asservis : 744 157€, Polygranit : 93 544€, Prothalia : 202 199€, Rovil : 35 720€, </w:t>
            </w:r>
            <w:r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strike w:val="false"/>
                <w:spacing w:val="0"/>
                <w:position w:val="0"/>
                <w:sz w:val="20"/>
                <w:u w:val="none"/>
                <w:vertAlign w:val="baseline"/>
                <w:lang w:val="fr-FR" w:bidi="ar-SA" w:eastAsia="en-US"/>
              </w:rPr>
              <w:t xml:space="preserve">3DLM : 12 008€, Demeusy et cie : 324 360€, Lidy : 15 008€, Mecadep : 767 000€.</w:t>
            </w:r>
            <w:r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strike w:val="false"/>
                <w:spacing w:val="0"/>
                <w:position w:val="0"/>
                <w:sz w:val="20"/>
                <w:szCs w:val="22"/>
                <w:u w:val="none"/>
                <w:vertAlign w:val="baseline"/>
                <w:lang w:val="fr-FR" w:bidi="ar-SA" w:eastAsia="en-US"/>
              </w:rPr>
            </w:r>
            <w:r/>
          </w:p>
          <w:p>
            <w:pPr>
              <w:contextualSpacing w:val="false"/>
              <w:ind w:left="0" w:right="0" w:firstLine="0"/>
              <w:jc w:val="both"/>
              <w:keepLines w:val="false"/>
              <w:keepNext w:val="false"/>
              <w:pageBreakBefore w:val="false"/>
              <w:spacing w:lineRule="atLeast" w:line="260" w:after="79" w:afterAutospacing="0" w:before="119" w:beforeAutospacing="0"/>
              <w:shd w:val="nil" w:fill="000000" w:color="000000"/>
              <w:widowControl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strike w:val="false"/>
                <w:spacing w:val="0"/>
                <w:position w:val="0"/>
                <w:sz w:val="20"/>
                <w:u w:val="none"/>
                <w:vertAlign w:val="baseline"/>
                <w:lang w:val="fr-FR" w:bidi="ar-SA" w:eastAsia="en-US"/>
              </w:rPr>
              <w:t xml:space="preserve">France Relance accompagne les entreprises du Territoire de Belfort </w:t>
            </w:r>
            <w:r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strike w:val="false"/>
                <w:spacing w:val="0"/>
                <w:position w:val="0"/>
                <w:sz w:val="20"/>
                <w:u w:val="none"/>
                <w:vertAlign w:val="baseline"/>
                <w:lang w:val="fr-FR" w:bidi="ar-SA" w:eastAsia="en-US"/>
              </w:rPr>
              <w:t xml:space="preserve">: </w:t>
            </w:r>
            <w:r>
              <w:rPr>
                <w:rFonts w:ascii="Arial" w:hAnsi="Arial" w:cs="Arial" w:eastAsia="Arial"/>
                <w:color w:val="00000A"/>
                <w:sz w:val="20"/>
              </w:rPr>
              <w:t xml:space="preserve">2 entreprises ont bénéficié des « chèques export » de France Relance pour les encourager malgré le contexte sanitaire à continuer à prospecter à l’international et 39  accompagnements numériques ont été dispensés.</w:t>
            </w:r>
            <w:r/>
            <w:r/>
          </w:p>
          <w:p>
            <w:pPr>
              <w:contextualSpacing w:val="false"/>
              <w:ind w:left="0" w:right="0" w:firstLine="0"/>
              <w:jc w:val="both"/>
              <w:keepLines w:val="false"/>
              <w:keepNext w:val="false"/>
              <w:pageBreakBefore w:val="false"/>
              <w:spacing w:lineRule="atLeast" w:line="260" w:after="79" w:afterAutospacing="0" w:before="119" w:beforeAutospacing="0"/>
              <w:shd w:val="nil" w:fill="000000" w:color="000000"/>
              <w:widowControl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strike w:val="false"/>
                <w:spacing w:val="0"/>
                <w:position w:val="0"/>
                <w:sz w:val="20"/>
                <w:u w:val="none"/>
                <w:vertAlign w:val="baseline"/>
                <w:lang w:val="fr-FR" w:bidi="ar-SA" w:eastAsia="en-US"/>
              </w:rPr>
              <w:t xml:space="preserve">France relance renforce la compétitivité du territoire </w:t>
            </w:r>
            <w:r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strike w:val="false"/>
                <w:spacing w:val="0"/>
                <w:position w:val="0"/>
                <w:sz w:val="20"/>
                <w:u w:val="none"/>
                <w:vertAlign w:val="baseline"/>
                <w:lang w:val="fr-FR" w:bidi="ar-SA" w:eastAsia="en-US"/>
              </w:rPr>
              <w:t xml:space="preserve">av</w:t>
            </w:r>
            <w:r>
              <w:rPr>
                <w:rFonts w:ascii="Arial" w:hAnsi="Arial" w:cs="Arial" w:eastAsia="Arial"/>
                <w:color w:val="00000A"/>
                <w:sz w:val="20"/>
              </w:rPr>
              <w:t xml:space="preserve">ec une baisse des impôts de production de 16,5 millions d’euros pour 1 425 entreprises du département. </w:t>
            </w:r>
            <w:r/>
            <w:r/>
          </w:p>
          <w:p>
            <w:pPr>
              <w:pStyle w:val="739"/>
              <w:jc w:val="left"/>
              <w:spacing w:lineRule="auto" w:line="240" w:after="0" w:before="0"/>
              <w:rPr>
                <w:rFonts w:ascii="Marianne" w:hAnsi="Marianne"/>
              </w:rPr>
            </w:pP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11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16" w:name="__RefHeading___Toc2102_2485215072"/>
      <w:r/>
      <w:bookmarkEnd w:id="16"/>
      <w:r>
        <w:rPr>
          <w:rFonts w:ascii="Marianne" w:hAnsi="Marianne" w:cs="Marianne"/>
          <w:color w:val="00A65D"/>
          <w:sz w:val="40"/>
          <w:szCs w:val="40"/>
        </w:rPr>
        <w:t xml:space="preserve">8 - </w:t>
      </w:r>
      <w:hyperlink r:id="rId20" w:tooltip="https://www.entreprises.gouv.fr/fr/industrie/politique-industrielle/territoires-d-industrie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AAP Industrie : Soutien aux projets industriels territoires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 (9%)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 (11%)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 (11%)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68 (8%)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57 (8%)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45 (7%)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863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727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625  </w:t>
            </w:r>
            <w:r/>
          </w:p>
        </w:tc>
      </w:tr>
    </w:tbl>
    <w:p>
      <w:pPr>
        <w:pStyle w:val="695"/>
        <w:spacing w:after="160" w:before="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W w:w="9417" w:type="dxa"/>
        <w:tblInd w:w="-5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417"/>
      </w:tblGrid>
      <w:tr>
        <w:trPr>
          <w:trHeight w:val="2433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417" w:type="dxa"/>
            <w:textDirection w:val="lrTb"/>
            <w:noWrap w:val="false"/>
          </w:tcPr>
          <w:p>
            <w:pPr>
              <w:pStyle w:val="734"/>
              <w:spacing w:lineRule="auto" w:line="240"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  <w:r/>
          </w:p>
          <w:p>
            <w:pPr>
              <w:pStyle w:val="739"/>
              <w:spacing w:lineRule="auto" w:line="240" w:after="0" w:before="0"/>
              <w:rPr>
                <w:rFonts w:ascii="Calibri" w:hAnsi="Calibri" w:cs="Calibri" w:eastAsia="Calibri"/>
                <w:b w:val="false"/>
                <w:color w:val="00000A"/>
                <w:u w:val="none"/>
              </w:rPr>
            </w:pPr>
            <w:r>
              <w:rPr>
                <w:rFonts w:ascii="Calibri" w:hAnsi="Calibri" w:cs="Calibri" w:eastAsia="Calibri"/>
                <w:b w:val="false"/>
                <w:color w:val="00000A"/>
                <w:u w:val="single"/>
              </w:rPr>
              <w:t xml:space="preserve">ANANKE : </w:t>
            </w:r>
            <w:r>
              <w:rPr>
                <w:rFonts w:ascii="Calibri" w:hAnsi="Calibri" w:cs="Calibri" w:eastAsia="Calibri"/>
                <w:b w:val="false"/>
                <w:color w:val="00000A"/>
                <w:u w:val="none"/>
              </w:rPr>
              <w:t xml:space="preserve">565 000 € de subventions pour l’industrialisation de son module de cogénération KEOS</w:t>
            </w:r>
            <w:r>
              <w:rPr>
                <w:rFonts w:ascii="Calibri" w:hAnsi="Calibri" w:cs="Calibri" w:eastAsia="Calibri"/>
                <w:b w:val="false"/>
                <w:color w:val="00000A"/>
                <w:u w:val="none"/>
              </w:rPr>
            </w:r>
            <w:r/>
          </w:p>
          <w:p>
            <w:pPr>
              <w:pStyle w:val="739"/>
              <w:spacing w:lineRule="auto" w:line="240" w:after="0" w:before="0"/>
              <w:rPr>
                <w:rFonts w:ascii="Calibri" w:hAnsi="Calibri" w:cs="Calibri" w:eastAsia="Calibri"/>
                <w:color w:val="00000A"/>
              </w:rPr>
            </w:pPr>
            <w:r>
              <w:rPr>
                <w:rFonts w:ascii="Calibri" w:hAnsi="Calibri" w:cs="Calibri" w:eastAsia="Calibri"/>
                <w:b w:val="false"/>
                <w:color w:val="00000A"/>
                <w:u w:val="none"/>
              </w:rPr>
              <w:t xml:space="preserve">La start-up fondée en 2017 œuvre au développement d’un module de Moteurs à Apport de Chaleur Externe (MACE) permettant de convertir la chaleur perdue, chaleur fatale, en source d’énergie utile. </w:t>
            </w:r>
            <w:r>
              <w:rPr>
                <w:rFonts w:ascii="Calibri" w:hAnsi="Calibri" w:cs="Calibri" w:eastAsia="Calibri"/>
                <w:b w:val="false"/>
                <w:color w:val="00000A"/>
                <w:u w:val="none"/>
              </w:rPr>
            </w:r>
            <w:r/>
          </w:p>
          <w:p>
            <w:pPr>
              <w:pStyle w:val="739"/>
              <w:spacing w:lineRule="auto" w:line="240" w:after="0" w:before="0"/>
              <w:rPr>
                <w:rFonts w:ascii="Calibri" w:hAnsi="Calibri" w:cs="Calibri" w:eastAsia="Calibri"/>
                <w:color w:val="00000A"/>
              </w:rPr>
            </w:pPr>
            <w:r>
              <w:rPr>
                <w:rFonts w:ascii="Calibri" w:hAnsi="Calibri" w:cs="Calibri" w:eastAsia="Calibri"/>
                <w:b w:val="false"/>
                <w:color w:val="00000A"/>
                <w:u w:val="single"/>
              </w:rPr>
            </w:r>
            <w:r>
              <w:rPr>
                <w:rFonts w:ascii="Calibri" w:hAnsi="Calibri" w:cs="Calibri" w:eastAsia="Calibri"/>
                <w:b w:val="false"/>
                <w:color w:val="00000A"/>
              </w:rPr>
            </w:r>
            <w:r/>
          </w:p>
          <w:p>
            <w:pPr>
              <w:pStyle w:val="739"/>
              <w:spacing w:lineRule="auto" w:line="240" w:after="0" w:before="0"/>
              <w:rPr>
                <w:rFonts w:cs="Calibri" w:eastAsia="Calibri"/>
                <w:color w:val="00000A"/>
              </w:rPr>
            </w:pPr>
            <w:r>
              <w:rPr>
                <w:rFonts w:cs="Calibri" w:eastAsia="Calibri"/>
                <w:b w:val="false"/>
                <w:bCs/>
                <w:color w:val="00000A"/>
                <w:u w:val="single"/>
              </w:rPr>
              <w:t xml:space="preserve">H2SYS</w:t>
            </w:r>
            <w:r>
              <w:rPr>
                <w:rFonts w:cs="Calibri" w:eastAsia="Calibri"/>
                <w:b w:val="false"/>
                <w:bCs/>
                <w:color w:val="00000A"/>
              </w:rPr>
              <w:t xml:space="preserve">: 800 000 € de subventions pour la création d’une ligne de fabrication de générateurs électriques à hydrogène. </w:t>
            </w:r>
            <w:r>
              <w:rPr>
                <w:rFonts w:cs="Calibri" w:eastAsia="Calibri"/>
                <w:b w:val="false"/>
                <w:bCs/>
                <w:color w:val="00000A"/>
              </w:rPr>
            </w:r>
            <w:r/>
          </w:p>
          <w:p>
            <w:pPr>
              <w:pStyle w:val="739"/>
              <w:spacing w:lineRule="auto" w:line="240" w:after="0" w:before="0"/>
              <w:rPr>
                <w:rFonts w:cs="Calibri" w:eastAsia="Calibri"/>
                <w:color w:val="00000A"/>
              </w:rPr>
            </w:pPr>
            <w:r>
              <w:rPr>
                <w:rFonts w:cs="Calibri" w:eastAsia="Calibri"/>
                <w:b w:val="false"/>
                <w:bCs/>
                <w:color w:val="00000A"/>
              </w:rPr>
              <w:t xml:space="preserve">La start-up fondée en 2017 œuvre au développement de groupes électrogènes fonctionnant à l’hydrogène.</w:t>
            </w:r>
            <w:r>
              <w:rPr>
                <w:rFonts w:cs="Calibri" w:eastAsia="Calibri"/>
                <w:b w:val="false"/>
                <w:color w:val="00000A"/>
              </w:rPr>
            </w:r>
            <w:r/>
          </w:p>
          <w:p>
            <w:pPr>
              <w:pStyle w:val="739"/>
              <w:spacing w:lineRule="auto" w:line="240" w:after="0" w:before="0"/>
              <w:rPr>
                <w:rFonts w:ascii="Calibri" w:hAnsi="Calibri" w:cs="Calibri" w:eastAsia="Calibri"/>
                <w:color w:val="00000A"/>
              </w:rPr>
            </w:pPr>
            <w:r>
              <w:rPr>
                <w:rFonts w:cs="Calibri" w:eastAsia="Calibri"/>
                <w:b w:val="false"/>
                <w:bCs/>
                <w:color w:val="00000A"/>
              </w:rPr>
              <w:t xml:space="preserve">L’entreprise projette de créer 15 nouveaux emplois.</w:t>
            </w:r>
            <w:r>
              <w:rPr>
                <w:rFonts w:ascii="Calibri" w:hAnsi="Calibri" w:cs="Calibri" w:eastAsia="Calibri"/>
                <w:b w:val="false"/>
                <w:color w:val="00000A"/>
              </w:rPr>
            </w:r>
            <w:r/>
          </w:p>
          <w:p>
            <w:pPr>
              <w:pStyle w:val="739"/>
              <w:spacing w:lineRule="auto" w:line="240" w:after="0" w:before="0"/>
              <w:rPr>
                <w:rFonts w:ascii="Calibri" w:hAnsi="Calibri" w:cs="Calibri" w:eastAsia="Calibri"/>
                <w:color w:val="00000A"/>
              </w:rPr>
            </w:pPr>
            <w:r>
              <w:rPr>
                <w:rFonts w:cs="Calibri" w:eastAsia="Calibri"/>
                <w:b w:val="false"/>
                <w:bCs/>
                <w:color w:val="00000A"/>
              </w:rPr>
            </w:r>
            <w:r>
              <w:rPr>
                <w:rFonts w:ascii="Calibri" w:hAnsi="Calibri" w:cs="Calibri" w:eastAsia="Calibri"/>
                <w:b w:val="false"/>
                <w:bCs/>
                <w:color w:val="00000A"/>
              </w:rPr>
            </w:r>
            <w:r/>
          </w:p>
          <w:p>
            <w:pPr>
              <w:pStyle w:val="739"/>
              <w:spacing w:lineRule="auto" w:line="240" w:after="0" w:before="0"/>
              <w:rPr>
                <w:rFonts w:ascii="Calibri" w:hAnsi="Calibri" w:cs="Calibri" w:eastAsia="Calibri"/>
                <w:color w:val="00000A"/>
              </w:rPr>
            </w:pPr>
            <w:r>
              <w:rPr>
                <w:rFonts w:ascii="Calibri" w:hAnsi="Calibri" w:cs="Calibri" w:eastAsia="Calibri"/>
                <w:b w:val="false"/>
                <w:bCs/>
                <w:color w:val="00000A"/>
              </w:rPr>
              <w:t xml:space="preserve">MACPLUS: 800 000 € de subventions pour l’acquisition d’équipements innovants et nécessaires à la diversification des activités et au développement de compétences technologiques complémentaires. </w:t>
            </w:r>
            <w:r>
              <w:rPr>
                <w:rFonts w:ascii="Calibri" w:hAnsi="Calibri" w:cs="Calibri" w:eastAsia="Calibri"/>
                <w:b w:val="false"/>
                <w:color w:val="00000A"/>
              </w:rPr>
            </w:r>
            <w:r/>
          </w:p>
          <w:p>
            <w:pPr>
              <w:pStyle w:val="739"/>
              <w:spacing w:lineRule="auto" w:line="240" w:after="0" w:before="0"/>
              <w:rPr>
                <w:rFonts w:ascii="Calibri" w:hAnsi="Calibri" w:cs="Calibri" w:eastAsia="Calibri"/>
                <w:color w:val="00000A"/>
              </w:rPr>
            </w:pPr>
            <w:r>
              <w:rPr>
                <w:rFonts w:ascii="Calibri" w:hAnsi="Calibri" w:cs="Calibri" w:eastAsia="Calibri"/>
                <w:b w:val="false"/>
                <w:bCs/>
                <w:color w:val="00000A"/>
              </w:rPr>
              <w:t xml:space="preserve">L’entreprise située à la Chapelle-sous-Rougemont est spécialisée dans la chaudronnerie et les assemblages mécano-soudés de superalliages et métaux durs.</w:t>
            </w:r>
            <w:r>
              <w:rPr>
                <w:rFonts w:ascii="Calibri" w:hAnsi="Calibri" w:cs="Calibri" w:eastAsia="Calibri"/>
                <w:b w:val="false"/>
                <w:color w:val="00000A"/>
              </w:rPr>
            </w:r>
            <w:r/>
          </w:p>
          <w:p>
            <w:pPr>
              <w:pStyle w:val="739"/>
              <w:spacing w:lineRule="auto" w:line="240" w:after="0" w:before="0"/>
              <w:rPr>
                <w:rFonts w:ascii="Calibri" w:hAnsi="Calibri" w:cs="Calibri" w:eastAsia="Calibri"/>
                <w:color w:val="00000A"/>
              </w:rPr>
            </w:pPr>
            <w:r>
              <w:rPr>
                <w:rFonts w:ascii="Calibri" w:hAnsi="Calibri" w:cs="Calibri" w:eastAsia="Calibri"/>
                <w:b w:val="false"/>
                <w:bCs/>
                <w:color w:val="00000A"/>
              </w:rPr>
              <w:t xml:space="preserve">L’entreprise projette de créer 50 nouveaux emplois.</w:t>
            </w:r>
            <w:r>
              <w:rPr>
                <w:rFonts w:ascii="Calibri" w:hAnsi="Calibri" w:cs="Calibri" w:eastAsia="Calibri"/>
                <w:b w:val="false"/>
                <w:color w:val="00000A"/>
              </w:rPr>
            </w:r>
            <w:r/>
          </w:p>
          <w:p>
            <w:pPr>
              <w:pStyle w:val="739"/>
              <w:jc w:val="left"/>
              <w:spacing w:lineRule="auto" w:line="240" w:after="0" w:before="0"/>
            </w:pP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12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18" w:name="__RefHeading___Toc2104_2485215072"/>
      <w:r/>
      <w:bookmarkEnd w:id="18"/>
      <w:r>
        <w:rPr>
          <w:rFonts w:ascii="Marianne" w:hAnsi="Marianne" w:cs="Marianne"/>
          <w:color w:val="00A65D"/>
          <w:sz w:val="40"/>
          <w:szCs w:val="40"/>
        </w:rPr>
        <w:t xml:space="preserve">9 - </w:t>
      </w:r>
      <w:hyperlink r:id="rId21" w:tooltip="https://www.bpifrance.fr/A-la-une/Appels-a-projets-concours/Appel-a-projets-Plan-de-relance-pour-l-industrie-Secteurs-strategiques-volet-national-50697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AAP Industrie : Sécurisation approvisionnements critiques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(0%)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(0%)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(0%)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14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14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12 (4%)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309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309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281  </w:t>
            </w:r>
            <w:r/>
          </w:p>
        </w:tc>
      </w:tr>
    </w:tbl>
    <w:p>
      <w:pPr>
        <w:pStyle w:val="695"/>
        <w:spacing w:after="160" w:before="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W w:w="9417" w:type="dxa"/>
        <w:tblInd w:w="-5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417"/>
      </w:tblGrid>
      <w:tr>
        <w:trPr>
          <w:trHeight w:val="2433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417" w:type="dxa"/>
            <w:textDirection w:val="lrTb"/>
            <w:noWrap w:val="false"/>
          </w:tcPr>
          <w:p>
            <w:pPr>
              <w:pStyle w:val="734"/>
              <w:spacing w:lineRule="auto" w:line="240"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  <w:r/>
          </w:p>
          <w:p>
            <w:pPr>
              <w:pStyle w:val="739"/>
              <w:jc w:val="left"/>
              <w:spacing w:lineRule="auto" w:line="240" w:after="0" w:before="0"/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13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20" w:name="__RefHeading___Toc2106_2485215072"/>
      <w:r/>
      <w:bookmarkEnd w:id="20"/>
      <w:r>
        <w:rPr>
          <w:rFonts w:ascii="Marianne" w:hAnsi="Marianne" w:cs="Marianne"/>
          <w:color w:val="00A65D"/>
          <w:sz w:val="40"/>
          <w:szCs w:val="40"/>
        </w:rPr>
        <w:t xml:space="preserve">10 - </w:t>
      </w:r>
      <w:hyperlink r:id="rId22" w:tooltip="https://www.economie.gouv.fr/plan-de-relance/profils/entreprises/aides-francenum-transformation-numerique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France Num : aide à la numérisation des TPE,PME,ETI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97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76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39 (3%)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1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2 036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1 689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1 245 (4%)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50 848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39 192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27 864  </w:t>
            </w:r>
            <w:r/>
          </w:p>
        </w:tc>
      </w:tr>
    </w:tbl>
    <w:p>
      <w:pPr>
        <w:pStyle w:val="695"/>
        <w:spacing w:after="160" w:before="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W w:w="9417" w:type="dxa"/>
        <w:tblInd w:w="-5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417"/>
      </w:tblGrid>
      <w:tr>
        <w:trPr>
          <w:trHeight w:val="2433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417" w:type="dxa"/>
            <w:textDirection w:val="lrTb"/>
            <w:noWrap w:val="false"/>
          </w:tcPr>
          <w:p>
            <w:pPr>
              <w:pStyle w:val="734"/>
              <w:spacing w:lineRule="auto" w:line="240"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  <w:r/>
          </w:p>
          <w:p>
            <w:pPr>
              <w:pStyle w:val="739"/>
              <w:jc w:val="left"/>
              <w:spacing w:lineRule="auto" w:line="240" w:after="0" w:before="0"/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14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22" w:name="__RefHeading___Toc2108_2485215072"/>
      <w:r/>
      <w:bookmarkEnd w:id="22"/>
      <w:r>
        <w:rPr>
          <w:rFonts w:ascii="Marianne" w:hAnsi="Marianne" w:cs="Marianne"/>
          <w:color w:val="00A65D"/>
          <w:sz w:val="40"/>
          <w:szCs w:val="40"/>
        </w:rPr>
        <w:t xml:space="preserve">11 - </w:t>
      </w:r>
      <w:hyperlink r:id="rId23" w:tooltip="https://www.economie.gouv.fr/plan-de-relance/profils/entreprises/aide-investissement-industrie-du-futur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Industrie du futur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 (8%)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 (9%)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3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168 (7%)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36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32 (5%)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2 403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1 007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705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15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24" w:name="__RefHeading___Toc2110_2485215072"/>
      <w:r/>
      <w:bookmarkEnd w:id="24"/>
      <w:r>
        <w:rPr>
          <w:rFonts w:ascii="Marianne" w:hAnsi="Marianne" w:cs="Marianne"/>
          <w:color w:val="00A65D"/>
          <w:sz w:val="40"/>
          <w:szCs w:val="40"/>
        </w:rPr>
        <w:t xml:space="preserve">12 - </w:t>
      </w:r>
      <w:hyperlink r:id="rId24" w:tooltip="https://www.economie.gouv.fr/files/files/directions_services/plan-de-relance/Guide-mesures-relance-exportations.pdf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Renforcement subventions Business France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(1%)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(1%)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(1%)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5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110 (3%)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95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76 (4%)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3 184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2 651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2 145  </w:t>
            </w:r>
            <w:r/>
          </w:p>
        </w:tc>
      </w:tr>
    </w:tbl>
    <w:p>
      <w:pPr>
        <w:pStyle w:val="695"/>
        <w:spacing w:after="160" w:before="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W w:w="9417" w:type="dxa"/>
        <w:tblInd w:w="-5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417"/>
      </w:tblGrid>
      <w:tr>
        <w:trPr>
          <w:trHeight w:val="2433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417" w:type="dxa"/>
            <w:textDirection w:val="lrTb"/>
            <w:noWrap w:val="false"/>
          </w:tcPr>
          <w:p>
            <w:pPr>
              <w:pStyle w:val="734"/>
              <w:spacing w:lineRule="auto" w:line="240"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  <w:r/>
          </w:p>
          <w:p>
            <w:pPr>
              <w:pStyle w:val="739"/>
              <w:jc w:val="left"/>
              <w:spacing w:lineRule="auto" w:line="240" w:after="0" w:before="0"/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16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26" w:name="__RefHeading___Toc2112_2485215072"/>
      <w:r/>
      <w:bookmarkEnd w:id="26"/>
      <w:r>
        <w:rPr>
          <w:rFonts w:ascii="Marianne" w:hAnsi="Marianne" w:cs="Marianne"/>
          <w:color w:val="00A65D"/>
          <w:sz w:val="40"/>
          <w:szCs w:val="40"/>
        </w:rPr>
        <w:t xml:space="preserve">13 - </w:t>
      </w:r>
      <w:hyperlink r:id="rId25" w:tooltip="https://www.economie.gouv.fr/files/files/directions_services/plan-de-relance/Guide-mesures-relance-exportations.pdf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Soutien aux filières culturelles (cinéma, audiovisuel, musique, numérique, livre)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(1%)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(1%)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7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169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160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4 041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3 876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5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697"/>
        <w:numPr>
          <w:ilvl w:val="1"/>
          <w:numId w:val="17"/>
        </w:numPr>
        <w:rPr>
          <w:sz w:val="44"/>
          <w:szCs w:val="44"/>
        </w:rPr>
      </w:pPr>
      <w:r/>
      <w:bookmarkStart w:id="28" w:name="__RefHeading___Toc2114_2485215072"/>
      <w:r/>
      <w:bookmarkEnd w:id="28"/>
      <w:r>
        <w:rPr>
          <w:rFonts w:ascii="Marianne" w:hAnsi="Marianne"/>
          <w:sz w:val="48"/>
          <w:szCs w:val="48"/>
        </w:rPr>
        <w:t xml:space="preserve">Volet 3 : Cohésion</w:t>
      </w:r>
      <w:r/>
    </w:p>
    <w:tbl>
      <w:tblPr>
        <w:tblW w:w="9072" w:type="dxa"/>
        <w:tblInd w:w="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072"/>
      </w:tblGrid>
      <w:tr>
        <w:trPr>
          <w:trHeight w:val="8055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072" w:type="dxa"/>
            <w:textDirection w:val="lrTb"/>
            <w:noWrap w:val="false"/>
          </w:tcPr>
          <w:p>
            <w:pPr>
              <w:pStyle w:val="739"/>
              <w:jc w:val="left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Calibri" w:eastAsia="Calibr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Marianne" w:hAnsi="Marianne" w:cs="Calibri" w:eastAsia="Calibr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  <w:r/>
          </w:p>
          <w:p>
            <w:pPr>
              <w:contextualSpacing w:val="true"/>
              <w:ind w:left="0" w:right="0" w:firstLine="0"/>
              <w:jc w:val="both"/>
              <w:keepLines w:val="false"/>
              <w:keepNext w:val="false"/>
              <w:pageBreakBefore w:val="false"/>
              <w:spacing w:lineRule="atLeast" w:line="277" w:after="0" w:afterAutospacing="0" w:before="240" w:beforeAutospacing="0"/>
              <w:shd w:val="nil" w:fill="000000" w:color="000000"/>
              <w:widowControl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  <w:r/>
            <w:r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strike w:val="false"/>
                <w:spacing w:val="0"/>
                <w:position w:val="0"/>
                <w:sz w:val="20"/>
                <w:u w:val="none"/>
                <w:vertAlign w:val="baseline"/>
                <w:lang w:val="fr-FR" w:bidi="ar-SA" w:eastAsia="en-US"/>
              </w:rPr>
              <w:t xml:space="preserve">Le plan « 1 jeune, 1 solution » </w:t>
            </w:r>
            <w:r>
              <w:rPr>
                <w:rFonts w:ascii="Arial" w:hAnsi="Arial" w:cs="Arial" w:eastAsia="Arial"/>
                <w:color w:val="000000"/>
                <w:sz w:val="20"/>
              </w:rPr>
              <w:t xml:space="preserve">a accompagné plus de 1 745 jeunes Terrifortains dans la signature d’un contrat de travail</w:t>
            </w:r>
            <w:r/>
            <w:r/>
          </w:p>
          <w:p>
            <w:pPr>
              <w:pStyle w:val="29"/>
              <w:numPr>
                <w:ilvl w:val="0"/>
                <w:numId w:val="29"/>
              </w:numPr>
              <w:ind w:right="0"/>
              <w:jc w:val="both"/>
              <w:spacing w:lineRule="atLeast" w:line="277" w:after="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A"/>
                <w:sz w:val="20"/>
              </w:rPr>
              <w:t xml:space="preserve">819  primes à l’embauche financées par France Relance</w:t>
            </w:r>
            <w:r/>
            <w:r/>
          </w:p>
          <w:p>
            <w:pPr>
              <w:pStyle w:val="29"/>
              <w:numPr>
                <w:ilvl w:val="0"/>
                <w:numId w:val="29"/>
              </w:numPr>
              <w:ind w:right="0"/>
              <w:jc w:val="both"/>
              <w:spacing w:lineRule="atLeast" w:line="277" w:after="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A"/>
                <w:sz w:val="20"/>
              </w:rPr>
              <w:t xml:space="preserve">739 contrats d’apprentissage et 28 contrats de professionnalisation aidés par France Relance</w:t>
            </w:r>
            <w:r/>
            <w:r/>
          </w:p>
          <w:p>
            <w:pPr>
              <w:pStyle w:val="29"/>
              <w:numPr>
                <w:ilvl w:val="0"/>
                <w:numId w:val="29"/>
              </w:numPr>
              <w:ind w:right="0"/>
              <w:jc w:val="both"/>
              <w:spacing w:lineRule="atLeast" w:line="277" w:after="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A"/>
                <w:sz w:val="20"/>
              </w:rPr>
              <w:t xml:space="preserve">83 jeunes en 2020 et 63 en 2021 entrés en parcours emploi compétence</w:t>
            </w:r>
            <w:r/>
            <w:r/>
          </w:p>
          <w:p>
            <w:pPr>
              <w:pStyle w:val="29"/>
              <w:numPr>
                <w:ilvl w:val="0"/>
                <w:numId w:val="29"/>
              </w:numPr>
              <w:ind w:right="0"/>
              <w:jc w:val="both"/>
              <w:spacing w:lineRule="atLeast" w:line="277" w:after="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A"/>
                <w:sz w:val="20"/>
              </w:rPr>
              <w:t xml:space="preserve">26 jeunes en 2021 entrés en parcours initiative Emploi</w:t>
            </w:r>
            <w:r/>
            <w:r/>
          </w:p>
          <w:p>
            <w:pPr>
              <w:pStyle w:val="29"/>
              <w:numPr>
                <w:ilvl w:val="0"/>
                <w:numId w:val="29"/>
              </w:numPr>
              <w:ind w:right="0"/>
              <w:jc w:val="both"/>
              <w:spacing w:lineRule="atLeast" w:line="277" w:after="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A"/>
                <w:sz w:val="20"/>
              </w:rPr>
              <w:t xml:space="preserve">43 jeunes en 2021 signataires d’un contrat emplois francs +</w:t>
            </w:r>
            <w:r/>
            <w:r/>
          </w:p>
          <w:p>
            <w:pPr>
              <w:contextualSpacing w:val="true"/>
              <w:ind w:left="0" w:right="0" w:firstLine="0"/>
              <w:jc w:val="both"/>
              <w:keepLines w:val="false"/>
              <w:keepNext w:val="false"/>
              <w:pageBreakBefore w:val="false"/>
              <w:spacing w:lineRule="atLeast" w:line="277" w:after="0" w:afterAutospacing="0" w:before="240" w:beforeAutospacing="0"/>
              <w:shd w:val="nil" w:fill="000000" w:color="000000"/>
              <w:widowControl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strike w:val="false"/>
                <w:spacing w:val="0"/>
                <w:position w:val="0"/>
                <w:sz w:val="20"/>
                <w:u w:val="none"/>
                <w:vertAlign w:val="baseline"/>
                <w:lang w:val="fr-FR" w:bidi="ar-SA" w:eastAsia="en-US"/>
              </w:rPr>
              <w:t xml:space="preserve">France Relance soutien les associations de lutte contre la pauvreté qui œuvrent auprès des publics les plus précaires.</w:t>
            </w:r>
            <w:r/>
            <w:r/>
          </w:p>
          <w:p>
            <w:pPr>
              <w:ind w:left="0" w:right="0" w:firstLine="0"/>
              <w:jc w:val="both"/>
              <w:spacing w:lineRule="atLeast" w:line="277" w:after="79" w:before="119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A"/>
                <w:sz w:val="20"/>
              </w:rPr>
              <w:t xml:space="preserve">Deux projets portés par des structures d’insertion sociale et professionnelles du Territoire de Belfort ont ainsi été retenus dans le cadre de l’appel à projets «  plan de soutien aux associations de lutte contre la pauvreté » :</w:t>
            </w:r>
            <w:r/>
            <w:r/>
          </w:p>
          <w:p>
            <w:pPr>
              <w:pStyle w:val="29"/>
              <w:numPr>
                <w:ilvl w:val="0"/>
                <w:numId w:val="30"/>
              </w:numPr>
              <w:ind w:right="0"/>
              <w:jc w:val="both"/>
              <w:spacing w:lineRule="atLeast" w:line="57" w:after="0" w:before="22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A"/>
                <w:sz w:val="20"/>
              </w:rPr>
              <w:t xml:space="preserve">Mise en place d’un accompagnement psychologique des publics en E2C : projet porté par l’E2C (Ecole de la 2</w:t>
            </w:r>
            <w:r>
              <w:rPr>
                <w:rFonts w:ascii="Arial" w:hAnsi="Arial" w:cs="Arial" w:eastAsia="Arial"/>
                <w:color w:val="00000A"/>
                <w:sz w:val="20"/>
                <w:vertAlign w:val="superscript"/>
              </w:rPr>
              <w:t xml:space="preserve">e</w:t>
            </w:r>
            <w:r>
              <w:rPr>
                <w:rFonts w:ascii="Arial" w:hAnsi="Arial" w:cs="Arial" w:eastAsia="Arial"/>
                <w:color w:val="00000A"/>
                <w:sz w:val="20"/>
              </w:rPr>
              <w:t xml:space="preserve"> chance) de Belfort pour l’ensemble des écoles de la région</w:t>
            </w:r>
            <w:r/>
            <w:r/>
          </w:p>
          <w:p>
            <w:pPr>
              <w:pStyle w:val="29"/>
              <w:numPr>
                <w:ilvl w:val="0"/>
                <w:numId w:val="30"/>
              </w:numPr>
              <w:ind w:right="0"/>
              <w:jc w:val="both"/>
              <w:spacing w:lineRule="atLeast" w:line="57" w:after="0" w:before="22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Mise en place d’un dispositif SAS pré-parcours d’insertion, pré-employabilité en insertion professionnelle porté par la Régie de Quartier de Belfort</w:t>
            </w:r>
            <w:r/>
            <w:r/>
          </w:p>
          <w:p>
            <w:pPr>
              <w:contextualSpacing w:val="false"/>
              <w:ind w:left="0" w:right="0" w:firstLine="0"/>
              <w:jc w:val="both"/>
              <w:keepLines w:val="false"/>
              <w:keepNext w:val="false"/>
              <w:pageBreakBefore w:val="false"/>
              <w:spacing w:lineRule="atLeast" w:line="277" w:after="79" w:afterAutospacing="0" w:before="119" w:beforeAutospacing="0"/>
              <w:shd w:val="nil" w:fill="000000" w:color="000000"/>
              <w:widowControl/>
              <w:rPr>
                <w:rFonts w:ascii="Arial" w:hAnsi="Arial" w:cs="Arial" w:eastAsia="Arial"/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strike w:val="false"/>
                <w:spacing w:val="0"/>
                <w:position w:val="0"/>
                <w:sz w:val="20"/>
                <w:u w:val="none"/>
                <w:vertAlign w:val="baseline"/>
                <w:lang w:val="fr-FR" w:bidi="ar-SA" w:eastAsia="en-US"/>
              </w:rPr>
            </w:r>
            <w:r>
              <w:rPr>
                <w:rFonts w:ascii="Arial" w:hAnsi="Arial" w:cs="Arial" w:eastAsia="Arial"/>
                <w:color w:val="000000"/>
                <w:sz w:val="20"/>
              </w:rPr>
            </w:r>
            <w:r/>
          </w:p>
          <w:p>
            <w:pPr>
              <w:contextualSpacing w:val="false"/>
              <w:ind w:left="0" w:right="0" w:firstLine="0"/>
              <w:jc w:val="both"/>
              <w:keepLines w:val="false"/>
              <w:keepNext w:val="false"/>
              <w:pageBreakBefore w:val="false"/>
              <w:spacing w:lineRule="atLeast" w:line="277" w:after="79" w:afterAutospacing="0" w:before="119" w:beforeAutospacing="0"/>
              <w:shd w:val="nil" w:fill="000000" w:color="000000"/>
              <w:widowControl/>
              <w:rPr>
                <w:rFonts w:ascii="Arial" w:hAnsi="Arial" w:cs="Arial" w:eastAsia="Arial"/>
                <w:color w:val="000000"/>
                <w:lang w:val="fr-FR" w:bidi="ar-SA" w:eastAsia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strike w:val="false"/>
                <w:spacing w:val="0"/>
                <w:position w:val="0"/>
                <w:sz w:val="20"/>
                <w:u w:val="none"/>
                <w:vertAlign w:val="baseline"/>
                <w:lang w:val="fr-FR" w:bidi="ar-SA" w:eastAsia="en-US"/>
              </w:rPr>
              <w:t xml:space="preserve">C’est aussi la volonté de renforcer la présence de l’État aux côtés des communes terrifortaines à travers l’abondement exceptionnel de dotation de soutien à l’investissement local</w:t>
            </w:r>
            <w:r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strike w:val="false"/>
                <w:spacing w:val="0"/>
                <w:position w:val="0"/>
                <w:sz w:val="20"/>
                <w:u w:val="none"/>
                <w:vertAlign w:val="baseline"/>
                <w:lang w:val="fr-FR" w:bidi="ar-SA" w:eastAsia="en-US"/>
              </w:rPr>
              <w:t xml:space="preserve">. Au titre de l’année 2021, ce sont plus  de 2,7 millions d’euros mobilisés pour 27 projets de rénovation des bâtiments de collectivités locales.</w:t>
            </w:r>
            <w:r>
              <w:rPr>
                <w:rFonts w:ascii="Arial" w:hAnsi="Arial" w:cs="Arial" w:eastAsia="Arial"/>
                <w:b w:val="false"/>
                <w:i w:val="false"/>
                <w:caps w:val="false"/>
                <w:smallCaps w:val="false"/>
                <w:strike w:val="false"/>
                <w:color w:val="000000"/>
                <w:spacing w:val="0"/>
                <w:position w:val="0"/>
                <w:sz w:val="20"/>
                <w:szCs w:val="22"/>
                <w:u w:val="none"/>
                <w:vertAlign w:val="baseline"/>
                <w:lang w:val="fr-FR" w:bidi="ar-SA" w:eastAsia="en-US"/>
              </w:rPr>
            </w:r>
            <w:r/>
          </w:p>
          <w:p>
            <w:pPr>
              <w:contextualSpacing w:val="false"/>
              <w:ind w:left="0" w:right="0" w:firstLine="0"/>
              <w:jc w:val="left"/>
              <w:keepLines w:val="false"/>
              <w:keepNext w:val="false"/>
              <w:pageBreakBefore w:val="false"/>
              <w:spacing w:lineRule="atLeast" w:line="277" w:after="79" w:afterAutospacing="0" w:before="119" w:beforeAutospacing="0"/>
              <w:shd w:val="nil" w:fill="000000" w:color="000000"/>
              <w:widowControl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0"/>
              </w:rPr>
            </w:r>
            <w:r/>
            <w:r/>
          </w:p>
          <w:p>
            <w:pPr>
              <w:pStyle w:val="739"/>
              <w:jc w:val="left"/>
              <w:spacing w:lineRule="auto" w:line="240" w:after="0" w:before="0"/>
              <w:rPr>
                <w:rFonts w:ascii="Marianne" w:hAnsi="Marianne"/>
              </w:rPr>
            </w:pP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18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29" w:name="__RefHeading___Toc2116_2485215072"/>
      <w:r/>
      <w:bookmarkEnd w:id="29"/>
      <w:r>
        <w:rPr>
          <w:rFonts w:ascii="Marianne" w:hAnsi="Marianne" w:cs="Marianne"/>
          <w:color w:val="00A65D"/>
          <w:sz w:val="40"/>
          <w:szCs w:val="40"/>
        </w:rPr>
        <w:t xml:space="preserve">14 - </w:t>
      </w:r>
      <w:hyperlink r:id="rId26" w:tooltip="https://travail-emploi.gouv.fr/demarches-ressources-documentaires/documentation-et-publications-officielles/guides/article/plan-de-relance-de-l-apprentissage-guide-pratique-pour-les-entreprises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Apprentissage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705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679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653 (4%)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0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16 780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16 121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14 948 (4%)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463 014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431 880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396 156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19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31" w:name="__RefHeading___Toc2118_2485215072"/>
      <w:r/>
      <w:bookmarkEnd w:id="31"/>
      <w:r>
        <w:rPr>
          <w:rFonts w:ascii="Marianne" w:hAnsi="Marianne" w:cs="Marianne"/>
          <w:color w:val="00A65D"/>
          <w:sz w:val="40"/>
          <w:szCs w:val="40"/>
        </w:rPr>
        <w:t xml:space="preserve">15 - </w:t>
      </w:r>
      <w:hyperlink r:id="rId27" w:tooltip="https://www.economie.gouv.fr/plan-de-relance/profils/entreprises/aide-embauche-jeune-contrat-initiative-emploi-cie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Contrats Initiatives Emploi (CIE) Jeunes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23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9 (3%)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2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626 (3%)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461 (3%)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327 (3%)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19 500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14 442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10 146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20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33" w:name="__RefHeading___Toc2120_2485215072"/>
      <w:r/>
      <w:bookmarkEnd w:id="33"/>
      <w:r>
        <w:rPr>
          <w:rFonts w:ascii="Marianne" w:hAnsi="Marianne" w:cs="Marianne"/>
          <w:color w:val="00A65D"/>
          <w:sz w:val="40"/>
          <w:szCs w:val="40"/>
        </w:rPr>
        <w:t xml:space="preserve">16 - </w:t>
      </w:r>
      <w:hyperlink r:id="rId28" w:tooltip="https://travail-emploi.gouv.fr/formation-professionnelle/entreprise-et-alternance/aide-exceptionnelle-contrat-pro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Contrats de professionnalisation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34 (2%)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28 (2%)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27 (2%)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4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1 511 (3%)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1 389 (3%)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1 302 (3%)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47 767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42 619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38 193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21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35" w:name="__RefHeading___Toc2122_2485215072"/>
      <w:r/>
      <w:bookmarkEnd w:id="35"/>
      <w:r>
        <w:rPr>
          <w:rFonts w:ascii="Marianne" w:hAnsi="Marianne" w:cs="Marianne"/>
          <w:color w:val="00A65D"/>
          <w:sz w:val="40"/>
          <w:szCs w:val="40"/>
        </w:rPr>
        <w:t xml:space="preserve">17 - </w:t>
      </w:r>
      <w:hyperlink r:id="rId29" w:tooltip="https://travail-emploi.gouv.fr/emploi/mesures-jeunes/garantiejeunes/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Garantie jeunes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112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103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75 (4%)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6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2 597 (3%)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2 140 (3%)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1 751 (3%)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84 019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68 312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55 933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22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37" w:name="__RefHeading___Toc2124_2485215072"/>
      <w:r/>
      <w:bookmarkEnd w:id="37"/>
      <w:r>
        <w:rPr>
          <w:rFonts w:ascii="Marianne" w:hAnsi="Marianne" w:cs="Marianne"/>
          <w:color w:val="00A65D"/>
          <w:sz w:val="40"/>
          <w:szCs w:val="40"/>
        </w:rPr>
        <w:t xml:space="preserve">18 - </w:t>
      </w:r>
      <w:hyperlink r:id="rId30" w:tooltip="https://www.economie.gouv.fr/plan-de-relance/insertion-personnes-eloignees-emploi-pec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Parcours emploi compétences (PEC) Jeunes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70 (9%)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59 (9%)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47 (9%)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8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737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636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510 (4%)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15 460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13 437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11 369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23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39" w:name="__RefHeading___Toc2126_2485215072"/>
      <w:r/>
      <w:bookmarkEnd w:id="39"/>
      <w:r>
        <w:rPr>
          <w:rFonts w:ascii="Marianne" w:hAnsi="Marianne" w:cs="Marianne"/>
          <w:color w:val="00A65D"/>
          <w:sz w:val="40"/>
          <w:szCs w:val="40"/>
        </w:rPr>
        <w:t xml:space="preserve">19 - </w:t>
      </w:r>
      <w:hyperlink r:id="rId31" w:tooltip="https://www.economie.gouv.fr/plan-de-relance/profils/entreprises/aide-embauche-jeunes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Prime à l'embauche des jeunes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647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598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523 (4%)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0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15 548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13 717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12 078 (4%)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372 083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320 336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275 602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24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41" w:name="__RefHeading___Toc2128_2485215072"/>
      <w:r/>
      <w:bookmarkEnd w:id="41"/>
      <w:r>
        <w:rPr>
          <w:rFonts w:ascii="Marianne" w:hAnsi="Marianne" w:cs="Marianne"/>
          <w:color w:val="00A65D"/>
          <w:sz w:val="40"/>
          <w:szCs w:val="40"/>
        </w:rPr>
        <w:t xml:space="preserve">20 - </w:t>
      </w:r>
      <w:hyperlink r:id="rId32" w:tooltip="https://www.economie.gouv.fr/entreprises/aide-mobilisation-employeurs-embauche-travailleurs-handicapes-plan-relance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Prime à l'embauche pour les travailleurs handicapés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 (3%)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12 (3%)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11 (3%)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2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504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440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390 (5%)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12 099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10 042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8 497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25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43" w:name="__RefHeading___Toc2130_2485215072"/>
      <w:r/>
      <w:bookmarkEnd w:id="43"/>
      <w:r>
        <w:rPr>
          <w:rFonts w:ascii="Marianne" w:hAnsi="Marianne" w:cs="Marianne"/>
          <w:color w:val="00A65D"/>
          <w:sz w:val="40"/>
          <w:szCs w:val="40"/>
        </w:rPr>
        <w:t xml:space="preserve">21 - </w:t>
      </w:r>
      <w:hyperlink r:id="rId33" w:tooltip="https://www.economie.gouv.fr/plan-de-relance/profils/administrations/financement-nouvelles-missions-service-civique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Service civique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Territoire de Belfort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253 (8%)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253 (8%)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237 (8%)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4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3 332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3 332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3 067 (4%)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79 626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79 626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71 751  </w:t>
            </w:r>
            <w:r/>
          </w:p>
        </w:tc>
      </w:tr>
    </w:tbl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417" w:right="1406" w:bottom="1417" w:left="1144" w:header="708" w:footer="708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Liberation Sans">
    <w:panose1 w:val="020B0604020202020204"/>
  </w:font>
  <w:font w:name="noto sans cjk sc">
    <w:panose1 w:val="020B0603030804020204"/>
  </w:font>
  <w:font w:name="Marianne">
    <w:panose1 w:val="02000000000000000000"/>
  </w:font>
  <w:font w:name="Times New Roman">
    <w:panose1 w:val="02020603050405020304"/>
  </w:font>
  <w:font w:name="Lohit Devanagari">
    <w:panose1 w:val="020B0600000000000000"/>
  </w:font>
  <w:font w:name="Courier New">
    <w:panose1 w:val="02070309020205020404"/>
  </w:font>
  <w:font w:name="Calibri Light">
    <w:panose1 w:val="020F0502020204030204"/>
  </w:font>
  <w:font w:name="noto sans cjk sc regular">
    <w:panose1 w:val="020B0603030804020204"/>
  </w:font>
  <w:font w:name="Arial">
    <w:panose1 w:val="020B0604020202020204"/>
  </w:font>
  <w:font w:name="Liberation Mono">
    <w:panose1 w:val="020704090202050204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1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rFonts w:ascii="Marianne" w:hAnsi="Marianne"/>
        <w:sz w:val="22"/>
        <w:szCs w:val="22"/>
      </w:rPr>
      <w:instrText xml:space="preserve"> PAGE </w:instrText>
    </w:r>
    <w:r>
      <w:rPr>
        <w:rFonts w:ascii="Marianne" w:hAnsi="Marianne"/>
        <w:sz w:val="22"/>
        <w:szCs w:val="22"/>
      </w:rPr>
      <w:fldChar w:fldCharType="separate"/>
    </w:r>
    <w:r>
      <w:rPr>
        <w:rFonts w:ascii="Marianne" w:hAnsi="Marianne"/>
        <w:sz w:val="22"/>
        <w:szCs w:val="22"/>
      </w:rPr>
      <w:t xml:space="preserve">26</w:t>
    </w:r>
    <w:r>
      <w:rPr>
        <w:rFonts w:ascii="Marianne" w:hAnsi="Marianne"/>
        <w:sz w:val="22"/>
        <w:szCs w:val="22"/>
      </w:rP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0"/>
    </w:pPr>
    <w:r>
      <mc:AlternateContent>
        <mc:Choice Requires="wpg">
          <w:drawing>
            <wp:anchor xmlns:wp="http://schemas.openxmlformats.org/drawingml/2006/wordprocessingDrawing" distT="0" distB="9525" distL="114300" distR="114300" simplePos="0" relativeHeight="27" behindDoc="0" locked="0" layoutInCell="1" allowOverlap="1">
              <wp:simplePos x="0" y="0"/>
              <wp:positionH relativeFrom="column">
                <wp:posOffset>-361315</wp:posOffset>
              </wp:positionH>
              <wp:positionV relativeFrom="paragraph">
                <wp:posOffset>-211455</wp:posOffset>
              </wp:positionV>
              <wp:extent cx="660400" cy="596265"/>
              <wp:effectExtent l="0" t="0" r="0" b="0"/>
              <wp:wrapTight wrapText="bothSides">
                <wp:wrapPolygon edited="1">
                  <wp:start x="-630" y="0"/>
                  <wp:lineTo x="-630" y="20684"/>
                  <wp:lineTo x="20573" y="20684"/>
                  <wp:lineTo x="20573" y="0"/>
                  <wp:lineTo x="-630" y="0"/>
                </wp:wrapPolygon>
              </wp:wrapTight>
              <wp:docPr id="1" name="Image 1" descr="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1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60400" cy="5962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8pt;z-index:27;o:allowoverlap:true;o:allowincell:true;mso-position-horizontal-relative:text;margin-left:-28.4pt;mso-position-horizontal:absolute;mso-position-vertical-relative:text;margin-top:-16.6pt;mso-position-vertical:absolute;width:52.0pt;height:46.9pt;" wrapcoords="-2916 0 -2916 95759 95245 95759 95245 0 -2916 0" stroked="false">
              <v:path textboxrect="0,0,0,0"/>
              <v:imagedata r:id="rId1" o:title=""/>
            </v:shape>
          </w:pict>
        </mc:Fallback>
      </mc:AlternateContent>
      <mc:AlternateContent>
        <mc:Choice Requires="wpg">
          <w:drawing>
            <wp:anchor xmlns:wp="http://schemas.openxmlformats.org/drawingml/2006/wordprocessingDrawing" distT="0" distB="0" distL="114300" distR="114300" simplePos="0" relativeHeight="53" behindDoc="0" locked="0" layoutInCell="1" allowOverlap="1">
              <wp:simplePos x="0" y="0"/>
              <wp:positionH relativeFrom="column">
                <wp:posOffset>4972685</wp:posOffset>
              </wp:positionH>
              <wp:positionV relativeFrom="paragraph">
                <wp:posOffset>-260350</wp:posOffset>
              </wp:positionV>
              <wp:extent cx="963930" cy="642620"/>
              <wp:effectExtent l="0" t="0" r="0" b="0"/>
              <wp:wrapTight wrapText="bothSides">
                <wp:wrapPolygon edited="1">
                  <wp:start x="-1262" y="0"/>
                  <wp:lineTo x="-1262" y="19299"/>
                  <wp:lineTo x="20085" y="19299"/>
                  <wp:lineTo x="20085" y="0"/>
                  <wp:lineTo x="-1262" y="0"/>
                </wp:wrapPolygon>
              </wp:wrapTight>
              <wp:docPr id="2" name="Image 2" descr="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 2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963930" cy="6426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0.0pt;mso-wrap-distance-right:9.0pt;mso-wrap-distance-bottom:0.0pt;z-index:53;o:allowoverlap:true;o:allowincell:true;mso-position-horizontal-relative:text;margin-left:391.5pt;mso-position-horizontal:absolute;mso-position-vertical-relative:text;margin-top:-20.5pt;mso-position-vertical:absolute;width:75.9pt;height:50.6pt;" wrapcoords="-5842 0 -5842 89347 92986 89347 92986 0 -5842 0" stroked="false">
              <v:path textboxrect="0,0,0,0"/>
              <v:imagedata r:id="rId2" o:title="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697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698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2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3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4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5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6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7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8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9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2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3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4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5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6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7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8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9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2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2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22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23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24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A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A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A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A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A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A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A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A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A"/>
        <w:sz w:val="20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24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A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A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A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A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A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A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A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A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A"/>
        <w:sz w:val="20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A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A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A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A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A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A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A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A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A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fr-FR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99"/>
    <w:link w:val="696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99"/>
    <w:link w:val="697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99"/>
    <w:link w:val="698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95"/>
    <w:next w:val="695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95"/>
    <w:next w:val="695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95"/>
    <w:next w:val="695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95"/>
    <w:next w:val="695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95"/>
    <w:next w:val="695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95"/>
    <w:next w:val="695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95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699"/>
    <w:link w:val="728"/>
    <w:uiPriority w:val="10"/>
    <w:rPr>
      <w:sz w:val="48"/>
      <w:szCs w:val="48"/>
    </w:rPr>
  </w:style>
  <w:style w:type="paragraph" w:styleId="34">
    <w:name w:val="Subtitle"/>
    <w:basedOn w:val="695"/>
    <w:next w:val="695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99"/>
    <w:link w:val="34"/>
    <w:uiPriority w:val="11"/>
    <w:rPr>
      <w:sz w:val="24"/>
      <w:szCs w:val="24"/>
    </w:rPr>
  </w:style>
  <w:style w:type="paragraph" w:styleId="36">
    <w:name w:val="Quote"/>
    <w:basedOn w:val="695"/>
    <w:next w:val="695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95"/>
    <w:next w:val="695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99"/>
    <w:link w:val="730"/>
    <w:uiPriority w:val="99"/>
  </w:style>
  <w:style w:type="character" w:styleId="43">
    <w:name w:val="Footer Char"/>
    <w:basedOn w:val="699"/>
    <w:link w:val="731"/>
    <w:uiPriority w:val="99"/>
  </w:style>
  <w:style w:type="character" w:styleId="45">
    <w:name w:val="Caption Char"/>
    <w:basedOn w:val="729"/>
    <w:link w:val="731"/>
    <w:uiPriority w:val="99"/>
  </w:style>
  <w:style w:type="table" w:styleId="47">
    <w:name w:val="Table Grid Light"/>
    <w:basedOn w:val="74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74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74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74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74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74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74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74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74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74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95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99"/>
    <w:uiPriority w:val="99"/>
    <w:unhideWhenUsed/>
    <w:rPr>
      <w:vertAlign w:val="superscript"/>
    </w:rPr>
  </w:style>
  <w:style w:type="paragraph" w:styleId="176">
    <w:name w:val="endnote text"/>
    <w:basedOn w:val="695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99"/>
    <w:uiPriority w:val="99"/>
    <w:semiHidden/>
    <w:unhideWhenUsed/>
    <w:rPr>
      <w:vertAlign w:val="superscript"/>
    </w:rPr>
  </w:style>
  <w:style w:type="paragraph" w:styleId="179">
    <w:name w:val="toc 1"/>
    <w:basedOn w:val="695"/>
    <w:next w:val="695"/>
    <w:uiPriority w:val="39"/>
    <w:unhideWhenUsed/>
    <w:pPr>
      <w:ind w:left="0" w:right="0" w:firstLine="0"/>
      <w:spacing w:after="57"/>
    </w:pPr>
  </w:style>
  <w:style w:type="paragraph" w:styleId="182">
    <w:name w:val="toc 4"/>
    <w:basedOn w:val="695"/>
    <w:next w:val="695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95"/>
    <w:next w:val="695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95"/>
    <w:next w:val="695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95"/>
    <w:next w:val="695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95"/>
    <w:next w:val="695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95"/>
    <w:next w:val="695"/>
    <w:uiPriority w:val="39"/>
    <w:unhideWhenUsed/>
    <w:pPr>
      <w:ind w:left="2268" w:right="0" w:firstLine="0"/>
      <w:spacing w:after="57"/>
    </w:pPr>
  </w:style>
  <w:style w:type="paragraph" w:styleId="189">
    <w:name w:val="table of figures"/>
    <w:basedOn w:val="695"/>
    <w:next w:val="695"/>
    <w:uiPriority w:val="99"/>
    <w:unhideWhenUsed/>
    <w:pPr>
      <w:spacing w:after="0" w:afterAutospacing="0"/>
    </w:pPr>
  </w:style>
  <w:style w:type="paragraph" w:styleId="695" w:default="1">
    <w:name w:val="Normal"/>
    <w:qFormat/>
    <w:rPr>
      <w:rFonts w:ascii="Calibri" w:hAnsi="Calibri" w:eastAsia="Calibri"/>
      <w:color w:val="00000A"/>
      <w:sz w:val="22"/>
      <w:szCs w:val="22"/>
      <w:lang w:val="fr-FR" w:bidi="ar-SA" w:eastAsia="en-US"/>
    </w:rPr>
    <w:pPr>
      <w:jc w:val="left"/>
      <w:spacing w:lineRule="auto" w:line="259" w:after="160" w:before="0"/>
      <w:widowControl/>
    </w:pPr>
  </w:style>
  <w:style w:type="paragraph" w:styleId="696">
    <w:name w:val="Heading 1"/>
    <w:basedOn w:val="695"/>
    <w:next w:val="695"/>
    <w:link w:val="707"/>
    <w:qFormat/>
    <w:uiPriority w:val="9"/>
    <w:rPr>
      <w:rFonts w:ascii="Calibri Light" w:hAnsi="Calibri Light" w:cs="Calibri Light" w:eastAsia="Calibri Light"/>
      <w:color w:val="2F5496" w:themeColor="accent1" w:themeShade="BF"/>
      <w:sz w:val="32"/>
      <w:szCs w:val="32"/>
    </w:rPr>
    <w:pPr>
      <w:keepLines/>
      <w:keepNext/>
      <w:spacing w:after="0" w:before="240"/>
      <w:outlineLvl w:val="0"/>
    </w:pPr>
  </w:style>
  <w:style w:type="paragraph" w:styleId="697">
    <w:name w:val="Heading 2"/>
    <w:basedOn w:val="723"/>
    <w:qFormat/>
    <w:rPr>
      <w:b/>
      <w:bCs/>
      <w:sz w:val="32"/>
      <w:szCs w:val="32"/>
    </w:rPr>
    <w:pPr>
      <w:numPr>
        <w:ilvl w:val="1"/>
        <w:numId w:val="1"/>
      </w:numPr>
      <w:spacing w:after="120" w:before="200"/>
      <w:outlineLvl w:val="1"/>
    </w:pPr>
  </w:style>
  <w:style w:type="paragraph" w:styleId="698">
    <w:name w:val="Heading 3"/>
    <w:basedOn w:val="723"/>
    <w:qFormat/>
    <w:rPr>
      <w:b/>
      <w:bCs/>
      <w:sz w:val="28"/>
      <w:szCs w:val="28"/>
    </w:rPr>
    <w:pPr>
      <w:numPr>
        <w:ilvl w:val="2"/>
        <w:numId w:val="1"/>
      </w:numPr>
      <w:spacing w:after="120" w:before="140"/>
      <w:outlineLvl w:val="2"/>
    </w:pPr>
  </w:style>
  <w:style w:type="character" w:styleId="699" w:default="1">
    <w:name w:val="Default Paragraph Font"/>
    <w:qFormat/>
    <w:uiPriority w:val="1"/>
    <w:semiHidden/>
    <w:unhideWhenUsed/>
  </w:style>
  <w:style w:type="character" w:styleId="700" w:customStyle="1">
    <w:name w:val="En-tête Car"/>
    <w:basedOn w:val="699"/>
    <w:qFormat/>
    <w:uiPriority w:val="99"/>
  </w:style>
  <w:style w:type="character" w:styleId="701" w:customStyle="1">
    <w:name w:val="Pied de page Car"/>
    <w:basedOn w:val="699"/>
    <w:link w:val="731"/>
    <w:qFormat/>
    <w:uiPriority w:val="99"/>
  </w:style>
  <w:style w:type="character" w:styleId="702" w:customStyle="1">
    <w:name w:val="Préformaté HTML Car"/>
    <w:basedOn w:val="699"/>
    <w:qFormat/>
    <w:uiPriority w:val="99"/>
    <w:semiHidden/>
    <w:rPr>
      <w:rFonts w:ascii="Courier New" w:hAnsi="Courier New" w:cs="Courier New" w:eastAsia="Times New Roman"/>
      <w:sz w:val="20"/>
      <w:szCs w:val="20"/>
      <w:lang w:eastAsia="fr-FR"/>
    </w:rPr>
  </w:style>
  <w:style w:type="character" w:styleId="703" w:customStyle="1">
    <w:name w:val="p"/>
    <w:basedOn w:val="699"/>
    <w:qFormat/>
  </w:style>
  <w:style w:type="character" w:styleId="704" w:customStyle="1">
    <w:name w:val="o"/>
    <w:basedOn w:val="699"/>
    <w:qFormat/>
  </w:style>
  <w:style w:type="character" w:styleId="705" w:customStyle="1">
    <w:name w:val="n"/>
    <w:basedOn w:val="699"/>
    <w:qFormat/>
  </w:style>
  <w:style w:type="character" w:styleId="706" w:customStyle="1">
    <w:name w:val="k"/>
    <w:basedOn w:val="699"/>
    <w:qFormat/>
  </w:style>
  <w:style w:type="character" w:styleId="707" w:customStyle="1">
    <w:name w:val="Titre 1 Car"/>
    <w:basedOn w:val="699"/>
    <w:link w:val="696"/>
    <w:qFormat/>
    <w:uiPriority w:val="9"/>
    <w:rPr>
      <w:rFonts w:ascii="Calibri Light" w:hAnsi="Calibri Light" w:cs="Calibri Light" w:eastAsia="Calibri Light"/>
      <w:color w:val="2F5496" w:themeColor="accent1" w:themeShade="BF"/>
      <w:sz w:val="32"/>
      <w:szCs w:val="32"/>
    </w:rPr>
  </w:style>
  <w:style w:type="character" w:styleId="708">
    <w:name w:val="Lien Internet"/>
    <w:rPr>
      <w:color w:val="000080"/>
      <w:u w:val="single"/>
    </w:rPr>
  </w:style>
  <w:style w:type="character" w:styleId="709">
    <w:name w:val="Lien Internet visité"/>
    <w:rPr>
      <w:color w:val="800000"/>
      <w:u w:val="single"/>
    </w:rPr>
  </w:style>
  <w:style w:type="character" w:styleId="710">
    <w:name w:val="ListLabel 1"/>
    <w:qFormat/>
    <w:rPr>
      <w:rFonts w:ascii="Arial" w:hAnsi="Arial" w:cs="Arial"/>
      <w:i/>
      <w:iCs/>
      <w:sz w:val="40"/>
      <w:szCs w:val="40"/>
    </w:rPr>
  </w:style>
  <w:style w:type="character" w:styleId="711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712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713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714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715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716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717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718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719">
    <w:name w:val="Texte source"/>
    <w:qFormat/>
    <w:rPr>
      <w:rFonts w:ascii="Liberation Mono" w:hAnsi="Liberation Mono" w:cs="Liberation Mono" w:eastAsia="Liberation Mono"/>
    </w:rPr>
  </w:style>
  <w:style w:type="character" w:styleId="72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72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722">
    <w:name w:val="Saut d'index"/>
    <w:qFormat/>
  </w:style>
  <w:style w:type="paragraph" w:styleId="723">
    <w:name w:val="Titre"/>
    <w:basedOn w:val="695"/>
    <w:next w:val="724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724">
    <w:name w:val="Body Text"/>
    <w:basedOn w:val="695"/>
    <w:pPr>
      <w:spacing w:lineRule="auto" w:line="276" w:after="140" w:before="0"/>
    </w:pPr>
  </w:style>
  <w:style w:type="paragraph" w:styleId="725">
    <w:name w:val="List"/>
    <w:basedOn w:val="724"/>
    <w:rPr>
      <w:rFonts w:cs="Lohit Devanagari"/>
    </w:rPr>
  </w:style>
  <w:style w:type="paragraph" w:styleId="726">
    <w:name w:val="Caption"/>
    <w:basedOn w:val="695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727" w:customStyle="1">
    <w:name w:val="Index"/>
    <w:basedOn w:val="695"/>
    <w:qFormat/>
    <w:rPr>
      <w:rFonts w:cs="Lohit Devanagari"/>
    </w:rPr>
    <w:pPr>
      <w:suppressLineNumbers/>
    </w:pPr>
  </w:style>
  <w:style w:type="paragraph" w:styleId="728">
    <w:name w:val="Title"/>
    <w:basedOn w:val="695"/>
    <w:qFormat/>
    <w:rPr>
      <w:rFonts w:ascii="Liberation Sans" w:hAnsi="Liberation Sans" w:cs="Lohit Devanagari" w:eastAsia="Noto Sans CJK SC Regular"/>
      <w:sz w:val="28"/>
      <w:szCs w:val="28"/>
    </w:rPr>
    <w:pPr>
      <w:keepNext/>
      <w:spacing w:after="120" w:before="240"/>
    </w:pPr>
  </w:style>
  <w:style w:type="paragraph" w:styleId="729">
    <w:name w:val="Caption"/>
    <w:basedOn w:val="695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730">
    <w:name w:val="Header"/>
    <w:basedOn w:val="695"/>
    <w:uiPriority w:val="99"/>
    <w:unhideWhenUsed/>
    <w:pPr>
      <w:spacing w:lineRule="auto" w:line="240" w:after="0" w:before="0"/>
      <w:tabs>
        <w:tab w:val="center" w:pos="4536" w:leader="none"/>
        <w:tab w:val="right" w:pos="9072" w:leader="none"/>
      </w:tabs>
    </w:pPr>
  </w:style>
  <w:style w:type="paragraph" w:styleId="731">
    <w:name w:val="Footer"/>
    <w:basedOn w:val="695"/>
    <w:link w:val="701"/>
    <w:uiPriority w:val="99"/>
    <w:unhideWhenUsed/>
    <w:pPr>
      <w:spacing w:lineRule="auto" w:line="240" w:after="0" w:before="0"/>
      <w:tabs>
        <w:tab w:val="center" w:pos="4536" w:leader="none"/>
        <w:tab w:val="right" w:pos="9072" w:leader="none"/>
      </w:tabs>
    </w:pPr>
  </w:style>
  <w:style w:type="paragraph" w:styleId="732">
    <w:name w:val="HTML Preformatted"/>
    <w:basedOn w:val="695"/>
    <w:link w:val="702"/>
    <w:qFormat/>
    <w:uiPriority w:val="99"/>
    <w:semiHidden/>
    <w:unhideWhenUsed/>
    <w:rPr>
      <w:rFonts w:ascii="Courier New" w:hAnsi="Courier New" w:cs="Courier New" w:eastAsia="Times New Roman"/>
      <w:sz w:val="20"/>
      <w:szCs w:val="20"/>
      <w:lang w:eastAsia="fr-FR"/>
    </w:rPr>
    <w:pPr>
      <w:spacing w:lineRule="auto" w:line="240" w:after="0" w:before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paragraph" w:styleId="733" w:customStyle="1">
    <w:name w:val="Obsah tabulky"/>
    <w:basedOn w:val="695"/>
    <w:qFormat/>
    <w:pPr>
      <w:suppressLineNumbers/>
    </w:pPr>
  </w:style>
  <w:style w:type="paragraph" w:styleId="734" w:customStyle="1">
    <w:name w:val="Contenu de tableau"/>
    <w:basedOn w:val="695"/>
    <w:qFormat/>
    <w:pPr>
      <w:suppressLineNumbers/>
    </w:pPr>
  </w:style>
  <w:style w:type="paragraph" w:styleId="735">
    <w:name w:val="toa heading"/>
    <w:basedOn w:val="728"/>
    <w:qFormat/>
    <w:rPr>
      <w:b/>
      <w:bCs/>
      <w:sz w:val="32"/>
      <w:szCs w:val="32"/>
    </w:rPr>
    <w:pPr>
      <w:suppressLineNumbers/>
    </w:pPr>
  </w:style>
  <w:style w:type="paragraph" w:styleId="736">
    <w:name w:val="TOC Heading"/>
    <w:basedOn w:val="696"/>
    <w:next w:val="695"/>
    <w:qFormat/>
    <w:uiPriority w:val="39"/>
    <w:unhideWhenUsed/>
    <w:rPr>
      <w:lang w:eastAsia="fr-FR"/>
    </w:rPr>
  </w:style>
  <w:style w:type="paragraph" w:styleId="737">
    <w:name w:val="Custom_style"/>
    <w:qFormat/>
    <w:rPr>
      <w:rFonts w:ascii="Calibri" w:hAnsi="Calibri" w:cs="Calibri" w:eastAsia="Calibri"/>
      <w:color w:val="auto"/>
      <w:sz w:val="4"/>
      <w:szCs w:val="22"/>
      <w:lang w:val="fr-FR" w:bidi="ar-SA" w:eastAsia="en-US"/>
    </w:rPr>
    <w:pPr>
      <w:jc w:val="left"/>
      <w:widowControl/>
    </w:pPr>
  </w:style>
  <w:style w:type="paragraph" w:styleId="738">
    <w:name w:val="03_texte-courant"/>
    <w:basedOn w:val="695"/>
    <w:qFormat/>
    <w:rPr>
      <w:rFonts w:ascii="Arial" w:hAnsi="Arial" w:cs="Arial" w:eastAsia="Calibri"/>
      <w:bCs/>
      <w:color w:val="000000" w:themeColor="text1"/>
      <w:sz w:val="20"/>
      <w:szCs w:val="20"/>
    </w:rPr>
    <w:pPr>
      <w:jc w:val="both"/>
      <w:spacing w:lineRule="exact" w:line="260" w:after="80" w:before="120"/>
      <w:widowControl w:val="off"/>
    </w:pPr>
  </w:style>
  <w:style w:type="paragraph" w:styleId="739">
    <w:name w:val="Contenu de cadre"/>
    <w:basedOn w:val="695"/>
    <w:qFormat/>
  </w:style>
  <w:style w:type="paragraph" w:styleId="740" w:customStyle="1">
    <w:name w:val="Custom_style2"/>
    <w:qFormat/>
    <w:rPr>
      <w:rFonts w:ascii="Calibri" w:hAnsi="Calibri" w:cs="Calibri" w:eastAsia="Calibri"/>
      <w:color w:val="auto"/>
      <w:sz w:val="4"/>
      <w:szCs w:val="22"/>
      <w:lang w:val="fr-FR" w:bidi="ar-SA" w:eastAsia="en-US"/>
    </w:rPr>
    <w:pPr>
      <w:jc w:val="left"/>
      <w:widowControl/>
    </w:pPr>
  </w:style>
  <w:style w:type="paragraph" w:styleId="741">
    <w:name w:val="toc 2"/>
    <w:basedOn w:val="727"/>
    <w:pPr>
      <w:ind w:left="283" w:firstLine="0"/>
      <w:tabs>
        <w:tab w:val="right" w:pos="9073" w:leader="dot"/>
      </w:tabs>
    </w:pPr>
  </w:style>
  <w:style w:type="paragraph" w:styleId="742">
    <w:name w:val="toc 3"/>
    <w:basedOn w:val="727"/>
    <w:pPr>
      <w:ind w:left="566" w:firstLine="0"/>
      <w:tabs>
        <w:tab w:val="right" w:pos="8790" w:leader="dot"/>
      </w:tabs>
    </w:pPr>
  </w:style>
  <w:style w:type="numbering" w:styleId="743" w:default="1">
    <w:name w:val="No List"/>
    <w:qFormat/>
    <w:uiPriority w:val="99"/>
    <w:semiHidden/>
    <w:unhideWhenUsed/>
  </w:style>
  <w:style w:type="table" w:styleId="74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745">
    <w:name w:val="Table Grid"/>
    <w:basedOn w:val="744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hyperlink" Target="https://www.gouvernement.fr/portraits-de-la-relance" TargetMode="External"/><Relationship Id="rId13" Type="http://schemas.openxmlformats.org/officeDocument/2006/relationships/hyperlink" Target="https://www.economie.gouv.fr/plan-de-relance/profils/entreprises/bonus-ecologique" TargetMode="External"/><Relationship Id="rId14" Type="http://schemas.openxmlformats.org/officeDocument/2006/relationships/hyperlink" Target="https://www.economie.gouv.fr/plan-de-relance/profils/particuliers/maprimerenov" TargetMode="External"/><Relationship Id="rId15" Type="http://schemas.openxmlformats.org/officeDocument/2006/relationships/hyperlink" Target="https://www.entreprises.gouv.fr/fr/actualites/industrie/fonds-de-soutien-aux-filieres-automobile-et-aeronautique-205-nouveaux-laureats" TargetMode="External"/><Relationship Id="rId16" Type="http://schemas.openxmlformats.org/officeDocument/2006/relationships/hyperlink" Target="https://www.economie.gouv.fr/plan-de-relance/profils/entreprises/prime-conversion-soutien-aquisition-agro-equipements" TargetMode="External"/><Relationship Id="rId17" Type="http://schemas.openxmlformats.org/officeDocument/2006/relationships/hyperlink" Target="https://www.ecologie.gouv.fr/france-relance-bonus-ecologique-et-prime-conversion" TargetMode="External"/><Relationship Id="rId18" Type="http://schemas.openxmlformats.org/officeDocument/2006/relationships/hyperlink" Target="https://www.economie.gouv.fr/plan-de-relance/profils/entreprises/fonds-recyclage-friches" TargetMode="External"/><Relationship Id="rId19" Type="http://schemas.openxmlformats.org/officeDocument/2006/relationships/hyperlink" Target="https://www.economie.gouv.fr/plan-de-relance/profils/administrations/renovation-energetique-batiments-publics" TargetMode="External"/><Relationship Id="rId20" Type="http://schemas.openxmlformats.org/officeDocument/2006/relationships/hyperlink" Target="https://www.entreprises.gouv.fr/fr/industrie/politique-industrielle/territoires-d-industrie" TargetMode="External"/><Relationship Id="rId2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22" Type="http://schemas.openxmlformats.org/officeDocument/2006/relationships/hyperlink" Target="https://www.economie.gouv.fr/plan-de-relance/profils/entreprises/aides-francenum-transformation-numerique" TargetMode="External"/><Relationship Id="rId23" Type="http://schemas.openxmlformats.org/officeDocument/2006/relationships/hyperlink" Target="https://www.economie.gouv.fr/plan-de-relance/profils/entreprises/aide-investissement-industrie-du-futur" TargetMode="External"/><Relationship Id="rId24" Type="http://schemas.openxmlformats.org/officeDocument/2006/relationships/hyperlink" Target="https://www.economie.gouv.fr/files/files/directions_services/plan-de-relance/Guide-mesures-relance-exportations.pdf" TargetMode="External"/><Relationship Id="rId25" Type="http://schemas.openxmlformats.org/officeDocument/2006/relationships/hyperlink" Target="https://www.economie.gouv.fr/files/files/directions_services/plan-de-relance/Guide-mesures-relance-exportations.pdf" TargetMode="External"/><Relationship Id="rId2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7" Type="http://schemas.openxmlformats.org/officeDocument/2006/relationships/hyperlink" Target="https://www.economie.gouv.fr/plan-de-relance/profils/entreprises/aide-embauche-jeune-contrat-initiative-emploi-cie" TargetMode="External"/><Relationship Id="rId28" Type="http://schemas.openxmlformats.org/officeDocument/2006/relationships/hyperlink" Target="https://travail-emploi.gouv.fr/formation-professionnelle/entreprise-et-alternance/aide-exceptionnelle-contrat-pro" TargetMode="External"/><Relationship Id="rId29" Type="http://schemas.openxmlformats.org/officeDocument/2006/relationships/hyperlink" Target="https://travail-emploi.gouv.fr/emploi/mesures-jeunes/garantiejeunes/" TargetMode="External"/><Relationship Id="rId30" Type="http://schemas.openxmlformats.org/officeDocument/2006/relationships/hyperlink" Target="https://www.economie.gouv.fr/plan-de-relance/insertion-personnes-eloignees-emploi-pec" TargetMode="External"/><Relationship Id="rId31" Type="http://schemas.openxmlformats.org/officeDocument/2006/relationships/hyperlink" Target="https://www.economie.gouv.fr/plan-de-relance/profils/entreprises/aide-embauche-jeunes" TargetMode="External"/><Relationship Id="rId32" Type="http://schemas.openxmlformats.org/officeDocument/2006/relationships/hyperlink" Target="https://www.economie.gouv.fr/entreprises/aide-mobilisation-employeurs-embauche-travailleurs-handicapes-plan-relance" TargetMode="External"/><Relationship Id="rId33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ONLYOFFICE/6.2.0.123</Application>
  <Company>Secrétariat Général</Company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TRAN</dc:creator>
  <dc:description/>
  <dc:language>fr-FR</dc:language>
  <cp:lastModifiedBy>Mathieu GATINEAU</cp:lastModifiedBy>
  <cp:revision>50</cp:revision>
  <dcterms:created xsi:type="dcterms:W3CDTF">2021-04-02T09:48:00Z</dcterms:created>
  <dcterms:modified xsi:type="dcterms:W3CDTF">2021-07-13T14:23:13Z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