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b/>
          <w:b/>
          <w:bCs/>
          <w:sz w:val="56"/>
          <w:szCs w:val="56"/>
        </w:rPr>
      </w:pPr>
      <w:r>
        <w:rPr>
          <w:rFonts w:cs="Arial" w:ascii="Arial" w:hAnsi="Arial"/>
          <w:b/>
          <w:bCs/>
          <w:sz w:val="56"/>
          <w:szCs w:val="56"/>
        </w:rPr>
        <w:t>SUIVI TERRITORIAL</w:t>
      </w:r>
    </w:p>
    <w:p>
      <w:pPr>
        <w:pStyle w:val="Normal"/>
        <w:rPr>
          <w:rFonts w:ascii="Arial" w:hAnsi="Arial" w:cs="Arial"/>
          <w:b/>
          <w:b/>
          <w:bCs/>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Vendée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b/>
          <w:b/>
          <w:bCs/>
          <w:sz w:val="50"/>
          <w:szCs w:val="50"/>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Efficacité énergétique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114">
                <wp:simplePos x="0" y="0"/>
                <wp:positionH relativeFrom="column">
                  <wp:posOffset>-191770</wp:posOffset>
                </wp:positionH>
                <wp:positionV relativeFrom="paragraph">
                  <wp:posOffset>1367790</wp:posOffset>
                </wp:positionV>
                <wp:extent cx="6081395" cy="3757295"/>
                <wp:effectExtent l="0" t="0" r="0" b="0"/>
                <wp:wrapNone/>
                <wp:docPr id="1" name="Forme1"/>
                <a:graphic xmlns:a="http://schemas.openxmlformats.org/drawingml/2006/main">
                  <a:graphicData uri="http://schemas.microsoft.com/office/word/2010/wordprocessingShape">
                    <wps:wsp>
                      <wps:cNvSpPr/>
                      <wps:spPr>
                        <a:xfrm>
                          <a:off x="0" y="0"/>
                          <a:ext cx="6080760" cy="375660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rPr>
                            </w:pPr>
                            <w:r>
                              <w:rPr>
                                <w:rFonts w:eastAsia="Calibri"/>
                                <w:b/>
                                <w:bCs/>
                                <w:color w:val="00000A"/>
                              </w:rPr>
                              <w:t xml:space="preserve">Commentaires généraux sur le Plan de Relance– </w:t>
                            </w:r>
                            <w:r>
                              <w:rPr>
                                <w:rFonts w:eastAsia="Calibri"/>
                                <w:b/>
                                <w:bCs/>
                                <w:color w:val="00000A"/>
                                <w:sz w:val="18"/>
                                <w:szCs w:val="18"/>
                              </w:rPr>
                              <w:t>données à fin avril sur la période globale du Plan de Relance</w:t>
                            </w:r>
                          </w:p>
                          <w:p>
                            <w:pPr>
                              <w:pStyle w:val="FrameContents"/>
                              <w:overflowPunct w:val="false"/>
                              <w:spacing w:lineRule="auto" w:line="240" w:before="0" w:after="0"/>
                              <w:jc w:val="both"/>
                              <w:rPr/>
                            </w:pPr>
                            <w:r>
                              <w:rPr/>
                              <w:t>Le Plan de relance représente pour la région Pays de la Loire une enveloppe de 2 813 Millions d’euros consommée pour 68,3 % sur le volet cohésion, 22,5 % sur le volet compétitivité et 9,2 % sur le volet écologie.</w:t>
                            </w:r>
                          </w:p>
                          <w:p>
                            <w:pPr>
                              <w:pStyle w:val="FrameContents"/>
                              <w:overflowPunct w:val="false"/>
                              <w:spacing w:lineRule="auto" w:line="240" w:before="0" w:after="0"/>
                              <w:jc w:val="both"/>
                              <w:rPr/>
                            </w:pPr>
                            <w:r>
                              <w:rPr/>
                              <w:t>Le département de la Vendée a bénéficié d’un peu plus de 16% de cette enveloppe globale du plan de relance pour la région Pays de la Loire ce qui correspond à une enveloppe de 456 Millions d’euros.</w:t>
                            </w:r>
                          </w:p>
                          <w:p>
                            <w:pPr>
                              <w:pStyle w:val="FrameContents"/>
                              <w:overflowPunct w:val="false"/>
                              <w:spacing w:lineRule="auto" w:line="240" w:before="0" w:after="0"/>
                              <w:jc w:val="both"/>
                              <w:rPr/>
                            </w:pPr>
                            <w:r>
                              <w:rPr/>
                              <w:t>La consommation de ce plan de relance pour le département de la Vendée a bénéficié pour 70,5 % au volet cohésion, pour 24 % au volet compétitivité et pour 5,5 % pour le volet écologie.</w:t>
                            </w:r>
                          </w:p>
                          <w:p>
                            <w:pPr>
                              <w:pStyle w:val="FrameContents"/>
                              <w:overflowPunct w:val="false"/>
                              <w:spacing w:lineRule="auto" w:line="240" w:before="0" w:after="0"/>
                              <w:jc w:val="both"/>
                              <w:rPr>
                                <w:b/>
                                <w:b/>
                              </w:rPr>
                            </w:pPr>
                            <w:r>
                              <w:rPr>
                                <w:b/>
                              </w:rPr>
                            </w:r>
                          </w:p>
                          <w:p>
                            <w:pPr>
                              <w:pStyle w:val="FrameContents"/>
                              <w:overflowPunct w:val="false"/>
                              <w:spacing w:lineRule="auto" w:line="240" w:before="0" w:after="0"/>
                              <w:jc w:val="both"/>
                              <w:rPr/>
                            </w:pPr>
                            <w:r>
                              <w:rPr>
                                <w:b/>
                              </w:rPr>
                              <w:t>Commentaires spécifiques - volet écologie</w:t>
                            </w:r>
                          </w:p>
                          <w:p>
                            <w:pPr>
                              <w:pStyle w:val="FrameContents"/>
                              <w:overflowPunct w:val="false"/>
                              <w:spacing w:lineRule="auto" w:line="240" w:before="0" w:after="0"/>
                              <w:jc w:val="both"/>
                              <w:rPr>
                                <w:b/>
                                <w:b/>
                              </w:rPr>
                            </w:pPr>
                            <w:r>
                              <w:rPr>
                                <w:b/>
                              </w:rPr>
                            </w:r>
                          </w:p>
                          <w:p>
                            <w:pPr>
                              <w:pStyle w:val="FrameContents"/>
                              <w:overflowPunct w:val="false"/>
                              <w:spacing w:lineRule="auto" w:line="240" w:before="0" w:after="0"/>
                              <w:jc w:val="both"/>
                              <w:rPr/>
                            </w:pPr>
                            <w:r>
                              <w:rPr/>
                              <w:t xml:space="preserve">Le département de la Vendée se caractérise par la relative faiblesse de ses actions sur les AAP portant sur cette thématique au regard des autres départements. En effet, le volet écologie représente un peu moins de 5,5% du Plan de relance pour le département de la Vendée avec une volumétrie de 25 Millions d’euros. </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 xml:space="preserve">Pour autant, il est à noter que le département de la Vendée, avec près de 7600 actions sur sur le volet écologie, représente plus de 22% des opérations régionales en lien avec </w:t>
                            </w:r>
                            <w:r>
                              <w:rPr>
                                <w:rFonts w:eastAsia="Calibri" w:cs="Tahoma"/>
                                <w:color w:val="00000A"/>
                                <w:kern w:val="0"/>
                                <w:sz w:val="22"/>
                                <w:szCs w:val="22"/>
                                <w:lang w:val="fr-FR" w:eastAsia="en-US" w:bidi="ar-SA"/>
                              </w:rPr>
                              <w:t>le</w:t>
                            </w:r>
                            <w:r>
                              <w:rPr/>
                              <w:t xml:space="preserve"> volet écologie.</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 xml:space="preserve">Cette situation d’écart entre le poids financier du volet écologie et son poids « opérationne l » s’explique par un ticket moyen de subvention </w:t>
                            </w:r>
                            <w:r>
                              <w:rPr>
                                <w:rFonts w:eastAsia="Calibri" w:cs="Tahoma"/>
                                <w:color w:val="00000A"/>
                                <w:kern w:val="0"/>
                                <w:sz w:val="22"/>
                                <w:szCs w:val="22"/>
                                <w:lang w:val="fr-FR" w:eastAsia="en-US" w:bidi="ar-SA"/>
                              </w:rPr>
                              <w:t>de 3 295 euros</w:t>
                            </w:r>
                            <w:r>
                              <w:rPr/>
                              <w:t xml:space="preserve"> moins élevé en Vendée, </w:t>
                            </w:r>
                            <w:r>
                              <w:rPr>
                                <w:rFonts w:eastAsia="Calibri" w:cs="Tahoma"/>
                                <w:color w:val="00000A"/>
                                <w:kern w:val="0"/>
                                <w:sz w:val="22"/>
                                <w:szCs w:val="22"/>
                                <w:lang w:val="fr-FR" w:eastAsia="en-US" w:bidi="ar-SA"/>
                              </w:rPr>
                              <w:t>plus</w:t>
                            </w:r>
                            <w:r>
                              <w:rPr/>
                              <w:t xml:space="preserve"> de 4 fois plus faible que celui de la Sarthe et près de 3 fois plus faible que celui de la Loire Atlantique.</w:t>
                            </w:r>
                          </w:p>
                          <w:p>
                            <w:pPr>
                              <w:pStyle w:val="FrameContents"/>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295.75pt">
                <w10:wrap type="square"/>
                <v:fill o:detectmouseclick="t" on="false"/>
                <v:stroke color="black" joinstyle="round" endcap="flat"/>
                <v:textbox>
                  <w:txbxContent>
                    <w:p>
                      <w:pPr>
                        <w:pStyle w:val="FrameContents"/>
                        <w:overflowPunct w:val="false"/>
                        <w:spacing w:lineRule="auto" w:line="240" w:before="0" w:after="0"/>
                        <w:rPr>
                          <w:rFonts w:eastAsia="Calibri"/>
                          <w:b/>
                          <w:b/>
                          <w:bCs/>
                          <w:color w:val="00000A"/>
                        </w:rPr>
                      </w:pPr>
                      <w:r>
                        <w:rPr>
                          <w:rFonts w:eastAsia="Calibri"/>
                          <w:b/>
                          <w:bCs/>
                          <w:color w:val="00000A"/>
                        </w:rPr>
                        <w:t xml:space="preserve">Commentaires généraux sur le Plan de Relance– </w:t>
                      </w:r>
                      <w:r>
                        <w:rPr>
                          <w:rFonts w:eastAsia="Calibri"/>
                          <w:b/>
                          <w:bCs/>
                          <w:color w:val="00000A"/>
                          <w:sz w:val="18"/>
                          <w:szCs w:val="18"/>
                        </w:rPr>
                        <w:t>données à fin avril sur la période globale du Plan de Relance</w:t>
                      </w:r>
                    </w:p>
                    <w:p>
                      <w:pPr>
                        <w:pStyle w:val="FrameContents"/>
                        <w:overflowPunct w:val="false"/>
                        <w:spacing w:lineRule="auto" w:line="240" w:before="0" w:after="0"/>
                        <w:jc w:val="both"/>
                        <w:rPr/>
                      </w:pPr>
                      <w:r>
                        <w:rPr/>
                        <w:t>Le Plan de relance représente pour la région Pays de la Loire une enveloppe de 2 813 Millions d’euros consommée pour 68,3 % sur le volet cohésion, 22,5 % sur le volet compétitivité et 9,2 % sur le volet écologie.</w:t>
                      </w:r>
                    </w:p>
                    <w:p>
                      <w:pPr>
                        <w:pStyle w:val="FrameContents"/>
                        <w:overflowPunct w:val="false"/>
                        <w:spacing w:lineRule="auto" w:line="240" w:before="0" w:after="0"/>
                        <w:jc w:val="both"/>
                        <w:rPr/>
                      </w:pPr>
                      <w:r>
                        <w:rPr/>
                        <w:t>Le département de la Vendée a bénéficié d’un peu plus de 16% de cette enveloppe globale du plan de relance pour la région Pays de la Loire ce qui correspond à une enveloppe de 456 Millions d’euros.</w:t>
                      </w:r>
                    </w:p>
                    <w:p>
                      <w:pPr>
                        <w:pStyle w:val="FrameContents"/>
                        <w:overflowPunct w:val="false"/>
                        <w:spacing w:lineRule="auto" w:line="240" w:before="0" w:after="0"/>
                        <w:jc w:val="both"/>
                        <w:rPr/>
                      </w:pPr>
                      <w:r>
                        <w:rPr/>
                        <w:t>La consommation de ce plan de relance pour le département de la Vendée a bénéficié pour 70,5 % au volet cohésion, pour 24 % au volet compétitivité et pour 5,5 % pour le volet écologie.</w:t>
                      </w:r>
                    </w:p>
                    <w:p>
                      <w:pPr>
                        <w:pStyle w:val="FrameContents"/>
                        <w:overflowPunct w:val="false"/>
                        <w:spacing w:lineRule="auto" w:line="240" w:before="0" w:after="0"/>
                        <w:jc w:val="both"/>
                        <w:rPr>
                          <w:b/>
                          <w:b/>
                        </w:rPr>
                      </w:pPr>
                      <w:r>
                        <w:rPr>
                          <w:b/>
                        </w:rPr>
                      </w:r>
                    </w:p>
                    <w:p>
                      <w:pPr>
                        <w:pStyle w:val="FrameContents"/>
                        <w:overflowPunct w:val="false"/>
                        <w:spacing w:lineRule="auto" w:line="240" w:before="0" w:after="0"/>
                        <w:jc w:val="both"/>
                        <w:rPr/>
                      </w:pPr>
                      <w:r>
                        <w:rPr>
                          <w:b/>
                        </w:rPr>
                        <w:t>Commentaires spécifiques - volet écologie</w:t>
                      </w:r>
                    </w:p>
                    <w:p>
                      <w:pPr>
                        <w:pStyle w:val="FrameContents"/>
                        <w:overflowPunct w:val="false"/>
                        <w:spacing w:lineRule="auto" w:line="240" w:before="0" w:after="0"/>
                        <w:jc w:val="both"/>
                        <w:rPr>
                          <w:b/>
                          <w:b/>
                        </w:rPr>
                      </w:pPr>
                      <w:r>
                        <w:rPr>
                          <w:b/>
                        </w:rPr>
                      </w:r>
                    </w:p>
                    <w:p>
                      <w:pPr>
                        <w:pStyle w:val="FrameContents"/>
                        <w:overflowPunct w:val="false"/>
                        <w:spacing w:lineRule="auto" w:line="240" w:before="0" w:after="0"/>
                        <w:jc w:val="both"/>
                        <w:rPr/>
                      </w:pPr>
                      <w:r>
                        <w:rPr/>
                        <w:t xml:space="preserve">Le département de la Vendée se caractérise par la relative faiblesse de ses actions sur les AAP portant sur cette thématique au regard des autres départements. En effet, le volet écologie représente un peu moins de 5,5% du Plan de relance pour le département de la Vendée avec une volumétrie de 25 Millions d’euros. </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 xml:space="preserve">Pour autant, il est à noter que le département de la Vendée, avec près de 7600 actions sur sur le volet écologie, représente plus de 22% des opérations régionales en lien avec </w:t>
                      </w:r>
                      <w:r>
                        <w:rPr>
                          <w:rFonts w:eastAsia="Calibri" w:cs="Tahoma"/>
                          <w:color w:val="00000A"/>
                          <w:kern w:val="0"/>
                          <w:sz w:val="22"/>
                          <w:szCs w:val="22"/>
                          <w:lang w:val="fr-FR" w:eastAsia="en-US" w:bidi="ar-SA"/>
                        </w:rPr>
                        <w:t>le</w:t>
                      </w:r>
                      <w:r>
                        <w:rPr/>
                        <w:t xml:space="preserve"> volet écologie.</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 xml:space="preserve">Cette situation d’écart entre le poids financier du volet écologie et son poids « opérationne l » s’explique par un ticket moyen de subvention </w:t>
                      </w:r>
                      <w:r>
                        <w:rPr>
                          <w:rFonts w:eastAsia="Calibri" w:cs="Tahoma"/>
                          <w:color w:val="00000A"/>
                          <w:kern w:val="0"/>
                          <w:sz w:val="22"/>
                          <w:szCs w:val="22"/>
                          <w:lang w:val="fr-FR" w:eastAsia="en-US" w:bidi="ar-SA"/>
                        </w:rPr>
                        <w:t>de 3 295 euros</w:t>
                      </w:r>
                      <w:r>
                        <w:rPr/>
                        <w:t xml:space="preserve"> moins élevé en Vendée, </w:t>
                      </w:r>
                      <w:r>
                        <w:rPr>
                          <w:rFonts w:eastAsia="Calibri" w:cs="Tahoma"/>
                          <w:color w:val="00000A"/>
                          <w:kern w:val="0"/>
                          <w:sz w:val="22"/>
                          <w:szCs w:val="22"/>
                          <w:lang w:val="fr-FR" w:eastAsia="en-US" w:bidi="ar-SA"/>
                        </w:rPr>
                        <w:t>plus</w:t>
                      </w:r>
                      <w:r>
                        <w:rPr/>
                        <w:t xml:space="preserve"> de 4 fois plus faible que celui de la Sarthe et près de 3 fois plus faible que celui de la Loire Atlantique.</w:t>
                      </w:r>
                    </w:p>
                    <w:p>
                      <w:pPr>
                        <w:pStyle w:val="FrameContents"/>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8560" cy="139065"/>
                <wp:effectExtent l="0" t="0" r="0" b="0"/>
                <wp:wrapNone/>
                <wp:docPr id="3"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Calibr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Ma Prime Rénov'</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Montant total des primes versées : 2.9 M€</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560"/>
        <w:gridCol w:w="2657"/>
        <w:gridCol w:w="1436"/>
        <w:gridCol w:w="1882"/>
        <w:gridCol w:w="1882"/>
      </w:tblGrid>
      <w:tr>
        <w:trPr>
          <w:trHeight w:val="400" w:hRule="atLeast"/>
        </w:trPr>
        <w:tc>
          <w:tcPr>
            <w:tcW w:w="941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190.4 M€  </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1142.1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116692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56759  </w:t>
            </w:r>
          </w:p>
        </w:tc>
      </w:tr>
      <w:tr>
        <w:trPr>
          <w:trHeight w:val="54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113.2 M€  </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700.8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70944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30743  </w:t>
            </w:r>
          </w:p>
        </w:tc>
      </w:tr>
      <w:tr>
        <w:trPr>
          <w:trHeight w:val="54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53.7 M€  </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337.9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560"/>
        <w:gridCol w:w="2665"/>
        <w:gridCol w:w="1426"/>
        <w:gridCol w:w="1882"/>
        <w:gridCol w:w="1884"/>
      </w:tblGrid>
      <w:tr>
        <w:trPr>
          <w:trHeight w:val="400" w:hRule="atLeast"/>
        </w:trPr>
        <w:tc>
          <w:tcPr>
            <w:tcW w:w="941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0" w:name="__DdeLink__225_3614400758"/>
            <w:bookmarkEnd w:id="0"/>
            <w:r>
              <w:rPr>
                <w:b/>
                <w:bCs/>
                <w:sz w:val="20"/>
                <w:szCs w:val="20"/>
              </w:rPr>
              <w:t>: Pays de la Loire</w:t>
            </w:r>
          </w:p>
        </w:tc>
      </w:tr>
      <w:tr>
        <w:trPr>
          <w:trHeight w:val="450"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11.0 M€  </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83.0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9217  </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4126  </w:t>
            </w:r>
          </w:p>
        </w:tc>
      </w:tr>
      <w:tr>
        <w:trPr>
          <w:trHeight w:val="54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 M€  </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49.8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5556  </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2179  </w:t>
            </w:r>
          </w:p>
        </w:tc>
      </w:tr>
      <w:tr>
        <w:trPr>
          <w:trHeight w:val="54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 M€  </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21.7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865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560"/>
        <w:gridCol w:w="2665"/>
        <w:gridCol w:w="1426"/>
        <w:gridCol w:w="1882"/>
        <w:gridCol w:w="1884"/>
      </w:tblGrid>
      <w:tr>
        <w:trPr>
          <w:trHeight w:val="400" w:hRule="atLeast"/>
        </w:trPr>
        <w:tc>
          <w:tcPr>
            <w:tcW w:w="941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617"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 M€  </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20.4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2378  </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1118  </w:t>
            </w:r>
          </w:p>
        </w:tc>
      </w:tr>
      <w:tr>
        <w:trPr>
          <w:trHeight w:val="617"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 M€  </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11.9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1444  </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592  </w:t>
            </w:r>
          </w:p>
        </w:tc>
      </w:tr>
      <w:tr>
        <w:trPr>
          <w:trHeight w:val="617" w:hRule="atLeast"/>
        </w:trPr>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664.5 k€  </w:t>
            </w:r>
          </w:p>
        </w:tc>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5.2 M€  </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211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5985" cy="2426970"/>
                <wp:effectExtent l="0" t="0" r="0" b="0"/>
                <wp:wrapNone/>
                <wp:docPr id="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1">
                <wp:simplePos x="0" y="0"/>
                <wp:positionH relativeFrom="column">
                  <wp:posOffset>-902970</wp:posOffset>
                </wp:positionH>
                <wp:positionV relativeFrom="paragraph">
                  <wp:posOffset>2577465</wp:posOffset>
                </wp:positionV>
                <wp:extent cx="7550150" cy="139065"/>
                <wp:effectExtent l="0" t="0" r="0" b="0"/>
                <wp:wrapNone/>
                <wp:docPr id="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113">
                <wp:simplePos x="0" y="0"/>
                <wp:positionH relativeFrom="column">
                  <wp:posOffset>0</wp:posOffset>
                </wp:positionH>
                <wp:positionV relativeFrom="paragraph">
                  <wp:posOffset>28575</wp:posOffset>
                </wp:positionV>
                <wp:extent cx="5975985" cy="2653030"/>
                <wp:effectExtent l="0" t="0" r="0" b="0"/>
                <wp:wrapNone/>
                <wp:docPr id="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both"/>
                              <w:rPr/>
                            </w:pPr>
                            <w:r>
                              <w:rPr>
                                <w:rFonts w:eastAsia="" w:cs="" w:ascii="Marianne" w:hAnsi="Marianne" w:cstheme="minorBidi" w:eastAsiaTheme="minorHAnsi"/>
                                <w:b/>
                                <w:bCs/>
                                <w:color w:val="00000A"/>
                                <w:sz w:val="20"/>
                                <w:szCs w:val="20"/>
                                <w:u w:val="none"/>
                              </w:rPr>
                              <w:t>Les premiers résultats pour 2021 concernant MaPrimeRenov montrent que la dynamique s’est fortement accélérée</w:t>
                            </w:r>
                            <w:r>
                              <w:rPr>
                                <w:rFonts w:eastAsia="" w:cs="" w:ascii="Marianne" w:hAnsi="Marianne" w:cstheme="minorBidi" w:eastAsiaTheme="minorHAnsi"/>
                                <w:b w:val="false"/>
                                <w:bCs w:val="false"/>
                                <w:color w:val="00000A"/>
                                <w:sz w:val="20"/>
                                <w:szCs w:val="20"/>
                                <w:u w:val="none"/>
                              </w:rPr>
                              <w:t xml:space="preserve"> avec les évolutions de gestion du programme liées au plan de relance. En effet l’aide a été élargie à de nouveaux travaux (projet global de rénovation,…) et de nouveaux éligibles (accessibilité à l’ensemble des propriétaires et copropriétaires, quels que soient leurs revenus, qu’ils occupent leur logement ou qu’ils le mettent en location). A fin mars 2021, le nombre de bénéficiaires représente déjà 85 % du nombre de ceux aidés sur l’ensemble de l’année 2020.</w:t>
                            </w:r>
                          </w:p>
                          <w:p>
                            <w:pPr>
                              <w:pStyle w:val="Contenudecadre"/>
                              <w:overflowPunct w:val="false"/>
                              <w:spacing w:lineRule="auto" w:line="240" w:before="0" w:after="0"/>
                              <w:jc w:val="both"/>
                              <w:rPr/>
                            </w:pPr>
                            <w:r>
                              <w:rPr>
                                <w:rFonts w:eastAsia="" w:cs="" w:ascii="Marianne" w:hAnsi="Marianne" w:cstheme="minorBidi" w:eastAsiaTheme="minorHAnsi"/>
                                <w:b w:val="false"/>
                                <w:bCs w:val="false"/>
                                <w:color w:val="00000A"/>
                                <w:sz w:val="20"/>
                                <w:szCs w:val="20"/>
                                <w:u w:val="none"/>
                                <w:lang w:val="fr-FR" w:eastAsia="en-US" w:bidi="ar-SA"/>
                              </w:rPr>
                              <w:t>Les aides sont orientés à 85 % sur des travaux d’équipements de chauffage et de chauffe-eau et à 10 % sur des travaux d’isolement. Pour l’instant, seuls deux dossiers correspondent à des rénovations globales.</w:t>
                            </w:r>
                          </w:p>
                          <w:p>
                            <w:pPr>
                              <w:pStyle w:val="FrameContents"/>
                              <w:overflowPunct w:val="false"/>
                              <w:spacing w:lineRule="auto" w:line="240" w:before="0" w:after="0"/>
                              <w:rPr/>
                            </w:pPr>
                            <w:r>
                              <w:rPr/>
                              <w:t>P</w:t>
                            </w:r>
                            <w:r>
                              <w:rPr/>
                              <w:t xml:space="preserve">lus de 25 % du financement </w:t>
                            </w:r>
                            <w:r>
                              <w:rPr/>
                              <w:t>régional de cette mesure se réalise sur le département vendéen.</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jc w:val="both"/>
                        <w:rPr/>
                      </w:pPr>
                      <w:r>
                        <w:rPr>
                          <w:rFonts w:eastAsia="" w:cs="" w:ascii="Marianne" w:hAnsi="Marianne" w:cstheme="minorBidi" w:eastAsiaTheme="minorHAnsi"/>
                          <w:b/>
                          <w:bCs/>
                          <w:color w:val="00000A"/>
                          <w:sz w:val="20"/>
                          <w:szCs w:val="20"/>
                          <w:u w:val="none"/>
                        </w:rPr>
                        <w:t>Les premiers résultats pour 2021 concernant MaPrimeRenov montrent que la dynamique s’est fortement accélérée</w:t>
                      </w:r>
                      <w:r>
                        <w:rPr>
                          <w:rFonts w:eastAsia="" w:cs="" w:ascii="Marianne" w:hAnsi="Marianne" w:cstheme="minorBidi" w:eastAsiaTheme="minorHAnsi"/>
                          <w:b w:val="false"/>
                          <w:bCs w:val="false"/>
                          <w:color w:val="00000A"/>
                          <w:sz w:val="20"/>
                          <w:szCs w:val="20"/>
                          <w:u w:val="none"/>
                        </w:rPr>
                        <w:t xml:space="preserve"> avec les évolutions de gestion du programme liées au plan de relance. En effet l’aide a été élargie à de nouveaux travaux (projet global de rénovation,…) et de nouveaux éligibles (accessibilité à l’ensemble des propriétaires et copropriétaires, quels que soient leurs revenus, qu’ils occupent leur logement ou qu’ils le mettent en location). A fin mars 2021, le nombre de bénéficiaires représente déjà 85 % du nombre de ceux aidés sur l’ensemble de l’année 2020.</w:t>
                      </w:r>
                    </w:p>
                    <w:p>
                      <w:pPr>
                        <w:pStyle w:val="Contenudecadre"/>
                        <w:overflowPunct w:val="false"/>
                        <w:spacing w:lineRule="auto" w:line="240" w:before="0" w:after="0"/>
                        <w:jc w:val="both"/>
                        <w:rPr/>
                      </w:pPr>
                      <w:r>
                        <w:rPr>
                          <w:rFonts w:eastAsia="" w:cs="" w:ascii="Marianne" w:hAnsi="Marianne" w:cstheme="minorBidi" w:eastAsiaTheme="minorHAnsi"/>
                          <w:b w:val="false"/>
                          <w:bCs w:val="false"/>
                          <w:color w:val="00000A"/>
                          <w:sz w:val="20"/>
                          <w:szCs w:val="20"/>
                          <w:u w:val="none"/>
                          <w:lang w:val="fr-FR" w:eastAsia="en-US" w:bidi="ar-SA"/>
                        </w:rPr>
                        <w:t>Les aides sont orientés à 85 % sur des travaux d’équipements de chauffage et de chauffe-eau et à 10 % sur des travaux d’isolement. Pour l’instant, seuls deux dossiers correspondent à des rénovations globales.</w:t>
                      </w:r>
                    </w:p>
                    <w:p>
                      <w:pPr>
                        <w:pStyle w:val="FrameContents"/>
                        <w:overflowPunct w:val="false"/>
                        <w:spacing w:lineRule="auto" w:line="240" w:before="0" w:after="0"/>
                        <w:rPr/>
                      </w:pPr>
                      <w:r>
                        <w:rPr/>
                        <w:t>P</w:t>
                      </w:r>
                      <w:r>
                        <w:rPr/>
                        <w:t xml:space="preserve">lus de 25 % du financement </w:t>
                      </w:r>
                      <w:r>
                        <w:rPr/>
                        <w:t>régional de cette mesure se réalise sur le département vendéen.</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Bonus électrique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bonus octroyés à des véhicules électriques : 1328</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135585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116916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 w:name="__DdeLink__225_36144007581"/>
            <w:bookmarkEnd w:id="1"/>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6940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5944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3829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1328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1053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854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5985" cy="2426970"/>
                <wp:effectExtent l="0" t="0" r="0" b="0"/>
                <wp:wrapNone/>
                <wp:docPr id="1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0">
                <wp:simplePos x="0" y="0"/>
                <wp:positionH relativeFrom="column">
                  <wp:posOffset>-902970</wp:posOffset>
                </wp:positionH>
                <wp:positionV relativeFrom="paragraph">
                  <wp:posOffset>2577465</wp:posOffset>
                </wp:positionV>
                <wp:extent cx="7550150" cy="139065"/>
                <wp:effectExtent l="0" t="0" r="0" b="0"/>
                <wp:wrapNone/>
                <wp:docPr id="1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112">
                <wp:simplePos x="0" y="0"/>
                <wp:positionH relativeFrom="column">
                  <wp:posOffset>0</wp:posOffset>
                </wp:positionH>
                <wp:positionV relativeFrom="paragraph">
                  <wp:posOffset>28575</wp:posOffset>
                </wp:positionV>
                <wp:extent cx="5975985" cy="2653030"/>
                <wp:effectExtent l="0" t="0" r="0" b="0"/>
                <wp:wrapNone/>
                <wp:docPr id="1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Efficacité énergétique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ayant reçu l'aide : 0</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2" w:name="__DdeLink__225_36144007582"/>
            <w:bookmarkEnd w:id="2"/>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5985" cy="2426970"/>
                <wp:effectExtent l="0" t="0" r="0" b="0"/>
                <wp:wrapNone/>
                <wp:docPr id="1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9">
                <wp:simplePos x="0" y="0"/>
                <wp:positionH relativeFrom="column">
                  <wp:posOffset>-902970</wp:posOffset>
                </wp:positionH>
                <wp:positionV relativeFrom="paragraph">
                  <wp:posOffset>2577465</wp:posOffset>
                </wp:positionV>
                <wp:extent cx="7550150" cy="139065"/>
                <wp:effectExtent l="0" t="0" r="0" b="0"/>
                <wp:wrapNone/>
                <wp:docPr id="1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111">
                <wp:simplePos x="0" y="0"/>
                <wp:positionH relativeFrom="column">
                  <wp:posOffset>0</wp:posOffset>
                </wp:positionH>
                <wp:positionV relativeFrom="paragraph">
                  <wp:posOffset>28575</wp:posOffset>
                </wp:positionV>
                <wp:extent cx="5975985" cy="2653030"/>
                <wp:effectExtent l="0" t="0" r="0" b="0"/>
                <wp:wrapNone/>
                <wp:docPr id="1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t>A cette date un dossier en instruction pour l’AAP CSR (chaleur bas carbone)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t>A cette date un dossier en instruction pour l’AAP CSR (chaleur bas carbone)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Modernisation des filières auto et aéro</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PME : 0</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3" w:name="__DdeLink__225_36144007583"/>
            <w:bookmarkEnd w:id="3"/>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5985" cy="2426970"/>
                <wp:effectExtent l="0" t="0" r="0" b="0"/>
                <wp:wrapNone/>
                <wp:docPr id="2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8">
                <wp:simplePos x="0" y="0"/>
                <wp:positionH relativeFrom="column">
                  <wp:posOffset>-902970</wp:posOffset>
                </wp:positionH>
                <wp:positionV relativeFrom="paragraph">
                  <wp:posOffset>2577465</wp:posOffset>
                </wp:positionV>
                <wp:extent cx="7550150" cy="139065"/>
                <wp:effectExtent l="0" t="0" r="0" b="0"/>
                <wp:wrapNone/>
                <wp:docPr id="2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110">
                <wp:simplePos x="0" y="0"/>
                <wp:positionH relativeFrom="column">
                  <wp:posOffset>0</wp:posOffset>
                </wp:positionH>
                <wp:positionV relativeFrom="paragraph">
                  <wp:posOffset>28575</wp:posOffset>
                </wp:positionV>
                <wp:extent cx="5975985" cy="2653030"/>
                <wp:effectExtent l="0" t="0" r="0" b="0"/>
                <wp:wrapNone/>
                <wp:docPr id="2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b/>
                                <w:bCs/>
                                <w:color w:val="00000A"/>
                                <w:sz w:val="20"/>
                                <w:szCs w:val="20"/>
                              </w:rPr>
                              <w:t xml:space="preserve"> </w:t>
                            </w:r>
                            <w:r>
                              <w:rPr>
                                <w:rFonts w:eastAsia="Calibri"/>
                                <w:b/>
                                <w:bCs/>
                                <w:color w:val="00000A"/>
                                <w:sz w:val="20"/>
                                <w:szCs w:val="20"/>
                              </w:rPr>
                              <w:t>Le nombre de lauréats sur cette AAP est de 10 équitablement répartis entre les deux filières.</w:t>
                            </w:r>
                          </w:p>
                          <w:p>
                            <w:pPr>
                              <w:pStyle w:val="FrameContents"/>
                              <w:overflowPunct w:val="false"/>
                              <w:spacing w:lineRule="auto" w:line="240" w:before="0" w:after="0"/>
                              <w:rPr>
                                <w:rFonts w:eastAsia="Calibri"/>
                                <w:b/>
                                <w:b/>
                                <w:bCs/>
                                <w:sz w:val="18"/>
                                <w:szCs w:val="18"/>
                              </w:rPr>
                            </w:pPr>
                            <w:r>
                              <w:rPr>
                                <w:rFonts w:eastAsia="Calibri"/>
                                <w:b/>
                                <w:bCs/>
                                <w:sz w:val="18"/>
                                <w:szCs w:val="18"/>
                              </w:rPr>
                            </w:r>
                          </w:p>
                          <w:p>
                            <w:pPr>
                              <w:pStyle w:val="FrameContents"/>
                              <w:overflowPunct w:val="false"/>
                              <w:spacing w:lineRule="auto" w:line="240" w:before="0" w:after="0"/>
                              <w:rPr>
                                <w:sz w:val="18"/>
                                <w:szCs w:val="18"/>
                              </w:rPr>
                            </w:pPr>
                            <w:r>
                              <w:rPr>
                                <w:rFonts w:eastAsia="Calibri"/>
                                <w:b/>
                                <w:bCs/>
                                <w:sz w:val="18"/>
                                <w:szCs w:val="18"/>
                              </w:rPr>
                              <w:t>Aéronautique </w:t>
                            </w:r>
                            <w:r>
                              <w:rPr>
                                <w:rFonts w:eastAsia="Calibri"/>
                                <w:b w:val="false"/>
                                <w:bCs w:val="false"/>
                                <w:sz w:val="18"/>
                                <w:szCs w:val="18"/>
                              </w:rPr>
                              <w:t xml:space="preserve">: </w:t>
                            </w:r>
                            <w:r>
                              <w:rPr>
                                <w:rFonts w:eastAsia="Calibri"/>
                                <w:b w:val="false"/>
                                <w:bCs w:val="false"/>
                                <w:i/>
                                <w:iCs/>
                                <w:sz w:val="18"/>
                                <w:szCs w:val="18"/>
                              </w:rPr>
                              <w:t>EUROPE TECHNOLOGIES (85600) ; DEFONTAINE (85530) pour deux AAP; EXXELIA SAS (85120) et LEDOUX FINANCE (85200).</w:t>
                            </w:r>
                          </w:p>
                          <w:p>
                            <w:pPr>
                              <w:pStyle w:val="FrameContents"/>
                              <w:overflowPunct w:val="false"/>
                              <w:spacing w:lineRule="auto" w:line="240" w:before="0" w:after="0"/>
                              <w:rPr>
                                <w:rFonts w:eastAsia="Calibri"/>
                                <w:b w:val="false"/>
                                <w:b w:val="false"/>
                                <w:bCs w:val="false"/>
                                <w:i/>
                                <w:i/>
                                <w:iCs/>
                                <w:sz w:val="18"/>
                                <w:szCs w:val="18"/>
                              </w:rPr>
                            </w:pPr>
                            <w:r>
                              <w:rPr>
                                <w:rFonts w:eastAsia="Calibri"/>
                                <w:b w:val="false"/>
                                <w:bCs w:val="false"/>
                                <w:i/>
                                <w:iCs/>
                                <w:sz w:val="18"/>
                                <w:szCs w:val="18"/>
                              </w:rPr>
                            </w:r>
                          </w:p>
                          <w:p>
                            <w:pPr>
                              <w:pStyle w:val="FrameContents"/>
                              <w:spacing w:lineRule="auto" w:line="240" w:before="0" w:after="0"/>
                              <w:jc w:val="both"/>
                              <w:rPr>
                                <w:b w:val="false"/>
                                <w:b w:val="false"/>
                                <w:bCs w:val="false"/>
                                <w:sz w:val="18"/>
                                <w:szCs w:val="18"/>
                              </w:rPr>
                            </w:pPr>
                            <w:r>
                              <w:rPr>
                                <w:rFonts w:eastAsia="Calibri"/>
                                <w:b w:val="false"/>
                                <w:bCs w:val="false"/>
                                <w:sz w:val="18"/>
                                <w:szCs w:val="18"/>
                                <w:u w:val="single"/>
                              </w:rPr>
                              <w:t xml:space="preserve">LEDOUX Finance 85200 </w:t>
                            </w:r>
                            <w:r>
                              <w:rPr>
                                <w:rFonts w:eastAsia="Calibri"/>
                                <w:b w:val="false"/>
                                <w:bCs w:val="false"/>
                                <w:sz w:val="18"/>
                                <w:szCs w:val="18"/>
                              </w:rPr>
                              <w:t xml:space="preserve">- </w:t>
                            </w:r>
                            <w:r>
                              <w:rPr>
                                <w:rFonts w:eastAsia="Calibri"/>
                                <w:b w:val="false"/>
                                <w:bCs w:val="false"/>
                                <w:i w:val="false"/>
                                <w:caps w:val="false"/>
                                <w:smallCaps w:val="false"/>
                                <w:color w:val="00000A"/>
                                <w:spacing w:val="0"/>
                                <w:sz w:val="18"/>
                                <w:szCs w:val="18"/>
                                <w:lang w:eastAsia="en-US"/>
                              </w:rPr>
                              <w:t>spécialisé dans la conception de machines spéciales, la reconstruction de machines-outils, et l'usinage. Le projet de développement innovant permettra de se positionner sur la conception d’hélicoptères avec une nouvelle tête de rivetage, de diversifier l'activité et de pénétrer des marché à l'export.</w:t>
                            </w:r>
                          </w:p>
                          <w:p>
                            <w:pPr>
                              <w:pStyle w:val="FrameContents"/>
                              <w:spacing w:lineRule="auto" w:line="240" w:before="0" w:after="0"/>
                              <w:jc w:val="both"/>
                              <w:rPr>
                                <w:b w:val="false"/>
                                <w:b w:val="false"/>
                                <w:sz w:val="18"/>
                                <w:szCs w:val="18"/>
                              </w:rPr>
                            </w:pPr>
                            <w:r>
                              <w:rPr>
                                <w:b w:val="false"/>
                                <w:bCs w:val="false"/>
                                <w:sz w:val="18"/>
                                <w:szCs w:val="18"/>
                                <w:u w:val="single"/>
                              </w:rPr>
                              <w:t xml:space="preserve">DEFONTAINE SAS 85530 </w:t>
                            </w:r>
                            <w:r>
                              <w:rPr>
                                <w:b w:val="false"/>
                                <w:bCs w:val="false"/>
                                <w:sz w:val="18"/>
                                <w:szCs w:val="18"/>
                              </w:rPr>
                              <w:t>-</w:t>
                            </w:r>
                            <w:r>
                              <w:rPr>
                                <w:rFonts w:eastAsia="Calibri"/>
                                <w:b w:val="false"/>
                                <w:bCs w:val="false"/>
                                <w:i w:val="false"/>
                                <w:caps w:val="false"/>
                                <w:smallCaps w:val="false"/>
                                <w:color w:val="00000A"/>
                                <w:spacing w:val="0"/>
                                <w:sz w:val="18"/>
                                <w:szCs w:val="18"/>
                                <w:lang w:eastAsia="en-US"/>
                              </w:rPr>
                              <w:t xml:space="preserve"> leader Européen du soudage, le projet permettra d’améliorer la sécurité des opérateurs, de réduire la consommation énergétique, d’augmenter la productivité, de moderniser et de digitaliser l'outil de travail.</w:t>
                            </w:r>
                          </w:p>
                          <w:p>
                            <w:pPr>
                              <w:pStyle w:val="FrameContents"/>
                              <w:spacing w:lineRule="auto" w:line="240" w:before="0" w:after="0"/>
                              <w:jc w:val="both"/>
                              <w:rPr>
                                <w:rFonts w:eastAsia="Calibri"/>
                                <w:b/>
                                <w:b/>
                                <w:bCs/>
                                <w:sz w:val="18"/>
                                <w:szCs w:val="18"/>
                              </w:rPr>
                            </w:pPr>
                            <w:r>
                              <w:rPr>
                                <w:rFonts w:eastAsia="Calibri"/>
                                <w:b/>
                                <w:bCs/>
                                <w:sz w:val="18"/>
                                <w:szCs w:val="18"/>
                              </w:rPr>
                            </w:r>
                          </w:p>
                          <w:p>
                            <w:pPr>
                              <w:pStyle w:val="FrameContents"/>
                              <w:spacing w:lineRule="auto" w:line="240" w:before="0" w:after="0"/>
                              <w:jc w:val="both"/>
                              <w:rPr>
                                <w:sz w:val="18"/>
                                <w:szCs w:val="18"/>
                              </w:rPr>
                            </w:pPr>
                            <w:r>
                              <w:rPr>
                                <w:rFonts w:eastAsia="Calibri"/>
                                <w:b/>
                                <w:bCs/>
                                <w:sz w:val="18"/>
                                <w:szCs w:val="18"/>
                              </w:rPr>
                              <w:t>Automobile </w:t>
                            </w:r>
                            <w:r>
                              <w:rPr>
                                <w:rFonts w:eastAsia="Calibri"/>
                                <w:b w:val="false"/>
                                <w:bCs w:val="false"/>
                                <w:sz w:val="18"/>
                                <w:szCs w:val="18"/>
                              </w:rPr>
                              <w:t xml:space="preserve">: </w:t>
                            </w:r>
                            <w:r>
                              <w:rPr>
                                <w:rFonts w:eastAsia="Calibri"/>
                                <w:b w:val="false"/>
                                <w:bCs w:val="false"/>
                                <w:i/>
                                <w:iCs/>
                                <w:sz w:val="18"/>
                                <w:szCs w:val="18"/>
                              </w:rPr>
                              <w:t>CERO (85300) ; SEPRO ROBOTIQUE (85000) ; CANTIN (85310) ; IP3 PLASTICS VENDÉE (85500) ; LIGIER GROUP (85600)</w:t>
                            </w:r>
                          </w:p>
                          <w:p>
                            <w:pPr>
                              <w:pStyle w:val="FrameContents"/>
                              <w:spacing w:lineRule="auto" w:line="240" w:before="0" w:after="0"/>
                              <w:jc w:val="both"/>
                              <w:rPr>
                                <w:rFonts w:eastAsia="Calibri"/>
                                <w:b w:val="false"/>
                                <w:b w:val="false"/>
                                <w:bCs w:val="false"/>
                                <w:i/>
                                <w:i/>
                                <w:iCs/>
                                <w:sz w:val="18"/>
                                <w:szCs w:val="18"/>
                              </w:rPr>
                            </w:pPr>
                            <w:r>
                              <w:rPr>
                                <w:rFonts w:eastAsia="Calibri"/>
                                <w:b w:val="false"/>
                                <w:bCs w:val="false"/>
                                <w:i/>
                                <w:iCs/>
                                <w:sz w:val="18"/>
                                <w:szCs w:val="18"/>
                              </w:rPr>
                            </w:r>
                          </w:p>
                          <w:p>
                            <w:pPr>
                              <w:pStyle w:val="FrameContents"/>
                              <w:overflowPunct w:val="false"/>
                              <w:spacing w:lineRule="auto" w:line="240" w:before="0" w:after="0"/>
                              <w:jc w:val="both"/>
                              <w:rPr/>
                            </w:pPr>
                            <w:r>
                              <w:rPr>
                                <w:rFonts w:eastAsia="Calibri"/>
                                <w:b w:val="false"/>
                                <w:bCs w:val="false"/>
                                <w:i w:val="false"/>
                                <w:caps w:val="false"/>
                                <w:smallCaps w:val="false"/>
                                <w:color w:val="00000A"/>
                                <w:spacing w:val="0"/>
                                <w:sz w:val="18"/>
                                <w:szCs w:val="18"/>
                                <w:u w:val="single"/>
                                <w:lang w:eastAsia="en-US"/>
                              </w:rPr>
                              <w:t xml:space="preserve">CERO 85300 </w:t>
                            </w:r>
                            <w:r>
                              <w:rPr>
                                <w:rFonts w:eastAsia="Calibri"/>
                                <w:b w:val="false"/>
                                <w:bCs w:val="false"/>
                                <w:i w:val="false"/>
                                <w:caps w:val="false"/>
                                <w:smallCaps w:val="false"/>
                                <w:color w:val="00000A"/>
                                <w:spacing w:val="0"/>
                                <w:sz w:val="18"/>
                                <w:szCs w:val="18"/>
                                <w:lang w:eastAsia="en-US"/>
                              </w:rPr>
                              <w:t>- intervient dans la conception et le design de moules d’injection plastique pour le secteur automobile et aéronautique. Le projet porte sur la modernisation et la digitalisation de l’outil de production pour l’adapter aux évolutions technologiques des véhicules.</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pPr>
                      <w:r>
                        <w:rPr>
                          <w:rFonts w:eastAsia="Calibri"/>
                          <w:b/>
                          <w:bCs/>
                          <w:color w:val="00000A"/>
                          <w:sz w:val="20"/>
                          <w:szCs w:val="20"/>
                        </w:rPr>
                        <w:t xml:space="preserve"> </w:t>
                      </w:r>
                      <w:r>
                        <w:rPr>
                          <w:rFonts w:eastAsia="Calibri"/>
                          <w:b/>
                          <w:bCs/>
                          <w:color w:val="00000A"/>
                          <w:sz w:val="20"/>
                          <w:szCs w:val="20"/>
                        </w:rPr>
                        <w:t>Le nombre de lauréats sur cette AAP est de 10 équitablement répartis entre les deux filières.</w:t>
                      </w:r>
                    </w:p>
                    <w:p>
                      <w:pPr>
                        <w:pStyle w:val="FrameContents"/>
                        <w:overflowPunct w:val="false"/>
                        <w:spacing w:lineRule="auto" w:line="240" w:before="0" w:after="0"/>
                        <w:rPr>
                          <w:rFonts w:eastAsia="Calibri"/>
                          <w:b/>
                          <w:b/>
                          <w:bCs/>
                          <w:sz w:val="18"/>
                          <w:szCs w:val="18"/>
                        </w:rPr>
                      </w:pPr>
                      <w:r>
                        <w:rPr>
                          <w:rFonts w:eastAsia="Calibri"/>
                          <w:b/>
                          <w:bCs/>
                          <w:sz w:val="18"/>
                          <w:szCs w:val="18"/>
                        </w:rPr>
                      </w:r>
                    </w:p>
                    <w:p>
                      <w:pPr>
                        <w:pStyle w:val="FrameContents"/>
                        <w:overflowPunct w:val="false"/>
                        <w:spacing w:lineRule="auto" w:line="240" w:before="0" w:after="0"/>
                        <w:rPr>
                          <w:sz w:val="18"/>
                          <w:szCs w:val="18"/>
                        </w:rPr>
                      </w:pPr>
                      <w:r>
                        <w:rPr>
                          <w:rFonts w:eastAsia="Calibri"/>
                          <w:b/>
                          <w:bCs/>
                          <w:sz w:val="18"/>
                          <w:szCs w:val="18"/>
                        </w:rPr>
                        <w:t>Aéronautique </w:t>
                      </w:r>
                      <w:r>
                        <w:rPr>
                          <w:rFonts w:eastAsia="Calibri"/>
                          <w:b w:val="false"/>
                          <w:bCs w:val="false"/>
                          <w:sz w:val="18"/>
                          <w:szCs w:val="18"/>
                        </w:rPr>
                        <w:t xml:space="preserve">: </w:t>
                      </w:r>
                      <w:r>
                        <w:rPr>
                          <w:rFonts w:eastAsia="Calibri"/>
                          <w:b w:val="false"/>
                          <w:bCs w:val="false"/>
                          <w:i/>
                          <w:iCs/>
                          <w:sz w:val="18"/>
                          <w:szCs w:val="18"/>
                        </w:rPr>
                        <w:t>EUROPE TECHNOLOGIES (85600) ; DEFONTAINE (85530) pour deux AAP; EXXELIA SAS (85120) et LEDOUX FINANCE (85200).</w:t>
                      </w:r>
                    </w:p>
                    <w:p>
                      <w:pPr>
                        <w:pStyle w:val="FrameContents"/>
                        <w:overflowPunct w:val="false"/>
                        <w:spacing w:lineRule="auto" w:line="240" w:before="0" w:after="0"/>
                        <w:rPr>
                          <w:rFonts w:eastAsia="Calibri"/>
                          <w:b w:val="false"/>
                          <w:b w:val="false"/>
                          <w:bCs w:val="false"/>
                          <w:i/>
                          <w:i/>
                          <w:iCs/>
                          <w:sz w:val="18"/>
                          <w:szCs w:val="18"/>
                        </w:rPr>
                      </w:pPr>
                      <w:r>
                        <w:rPr>
                          <w:rFonts w:eastAsia="Calibri"/>
                          <w:b w:val="false"/>
                          <w:bCs w:val="false"/>
                          <w:i/>
                          <w:iCs/>
                          <w:sz w:val="18"/>
                          <w:szCs w:val="18"/>
                        </w:rPr>
                      </w:r>
                    </w:p>
                    <w:p>
                      <w:pPr>
                        <w:pStyle w:val="FrameContents"/>
                        <w:spacing w:lineRule="auto" w:line="240" w:before="0" w:after="0"/>
                        <w:jc w:val="both"/>
                        <w:rPr>
                          <w:b w:val="false"/>
                          <w:b w:val="false"/>
                          <w:bCs w:val="false"/>
                          <w:sz w:val="18"/>
                          <w:szCs w:val="18"/>
                        </w:rPr>
                      </w:pPr>
                      <w:r>
                        <w:rPr>
                          <w:rFonts w:eastAsia="Calibri"/>
                          <w:b w:val="false"/>
                          <w:bCs w:val="false"/>
                          <w:sz w:val="18"/>
                          <w:szCs w:val="18"/>
                          <w:u w:val="single"/>
                        </w:rPr>
                        <w:t xml:space="preserve">LEDOUX Finance 85200 </w:t>
                      </w:r>
                      <w:r>
                        <w:rPr>
                          <w:rFonts w:eastAsia="Calibri"/>
                          <w:b w:val="false"/>
                          <w:bCs w:val="false"/>
                          <w:sz w:val="18"/>
                          <w:szCs w:val="18"/>
                        </w:rPr>
                        <w:t xml:space="preserve">- </w:t>
                      </w:r>
                      <w:r>
                        <w:rPr>
                          <w:rFonts w:eastAsia="Calibri"/>
                          <w:b w:val="false"/>
                          <w:bCs w:val="false"/>
                          <w:i w:val="false"/>
                          <w:caps w:val="false"/>
                          <w:smallCaps w:val="false"/>
                          <w:color w:val="00000A"/>
                          <w:spacing w:val="0"/>
                          <w:sz w:val="18"/>
                          <w:szCs w:val="18"/>
                          <w:lang w:eastAsia="en-US"/>
                        </w:rPr>
                        <w:t>spécialisé dans la conception de machines spéciales, la reconstruction de machines-outils, et l'usinage. Le projet de développement innovant permettra de se positionner sur la conception d’hélicoptères avec une nouvelle tête de rivetage, de diversifier l'activité et de pénétrer des marché à l'export.</w:t>
                      </w:r>
                    </w:p>
                    <w:p>
                      <w:pPr>
                        <w:pStyle w:val="FrameContents"/>
                        <w:spacing w:lineRule="auto" w:line="240" w:before="0" w:after="0"/>
                        <w:jc w:val="both"/>
                        <w:rPr>
                          <w:b w:val="false"/>
                          <w:b w:val="false"/>
                          <w:sz w:val="18"/>
                          <w:szCs w:val="18"/>
                        </w:rPr>
                      </w:pPr>
                      <w:r>
                        <w:rPr>
                          <w:b w:val="false"/>
                          <w:bCs w:val="false"/>
                          <w:sz w:val="18"/>
                          <w:szCs w:val="18"/>
                          <w:u w:val="single"/>
                        </w:rPr>
                        <w:t xml:space="preserve">DEFONTAINE SAS 85530 </w:t>
                      </w:r>
                      <w:r>
                        <w:rPr>
                          <w:b w:val="false"/>
                          <w:bCs w:val="false"/>
                          <w:sz w:val="18"/>
                          <w:szCs w:val="18"/>
                        </w:rPr>
                        <w:t>-</w:t>
                      </w:r>
                      <w:r>
                        <w:rPr>
                          <w:rFonts w:eastAsia="Calibri"/>
                          <w:b w:val="false"/>
                          <w:bCs w:val="false"/>
                          <w:i w:val="false"/>
                          <w:caps w:val="false"/>
                          <w:smallCaps w:val="false"/>
                          <w:color w:val="00000A"/>
                          <w:spacing w:val="0"/>
                          <w:sz w:val="18"/>
                          <w:szCs w:val="18"/>
                          <w:lang w:eastAsia="en-US"/>
                        </w:rPr>
                        <w:t xml:space="preserve"> leader Européen du soudage, le projet permettra d’améliorer la sécurité des opérateurs, de réduire la consommation énergétique, d’augmenter la productivité, de moderniser et de digitaliser l'outil de travail.</w:t>
                      </w:r>
                    </w:p>
                    <w:p>
                      <w:pPr>
                        <w:pStyle w:val="FrameContents"/>
                        <w:spacing w:lineRule="auto" w:line="240" w:before="0" w:after="0"/>
                        <w:jc w:val="both"/>
                        <w:rPr>
                          <w:rFonts w:eastAsia="Calibri"/>
                          <w:b/>
                          <w:b/>
                          <w:bCs/>
                          <w:sz w:val="18"/>
                          <w:szCs w:val="18"/>
                        </w:rPr>
                      </w:pPr>
                      <w:r>
                        <w:rPr>
                          <w:rFonts w:eastAsia="Calibri"/>
                          <w:b/>
                          <w:bCs/>
                          <w:sz w:val="18"/>
                          <w:szCs w:val="18"/>
                        </w:rPr>
                      </w:r>
                    </w:p>
                    <w:p>
                      <w:pPr>
                        <w:pStyle w:val="FrameContents"/>
                        <w:spacing w:lineRule="auto" w:line="240" w:before="0" w:after="0"/>
                        <w:jc w:val="both"/>
                        <w:rPr>
                          <w:sz w:val="18"/>
                          <w:szCs w:val="18"/>
                        </w:rPr>
                      </w:pPr>
                      <w:r>
                        <w:rPr>
                          <w:rFonts w:eastAsia="Calibri"/>
                          <w:b/>
                          <w:bCs/>
                          <w:sz w:val="18"/>
                          <w:szCs w:val="18"/>
                        </w:rPr>
                        <w:t>Automobile </w:t>
                      </w:r>
                      <w:r>
                        <w:rPr>
                          <w:rFonts w:eastAsia="Calibri"/>
                          <w:b w:val="false"/>
                          <w:bCs w:val="false"/>
                          <w:sz w:val="18"/>
                          <w:szCs w:val="18"/>
                        </w:rPr>
                        <w:t xml:space="preserve">: </w:t>
                      </w:r>
                      <w:r>
                        <w:rPr>
                          <w:rFonts w:eastAsia="Calibri"/>
                          <w:b w:val="false"/>
                          <w:bCs w:val="false"/>
                          <w:i/>
                          <w:iCs/>
                          <w:sz w:val="18"/>
                          <w:szCs w:val="18"/>
                        </w:rPr>
                        <w:t>CERO (85300) ; SEPRO ROBOTIQUE (85000) ; CANTIN (85310) ; IP3 PLASTICS VENDÉE (85500) ; LIGIER GROUP (85600)</w:t>
                      </w:r>
                    </w:p>
                    <w:p>
                      <w:pPr>
                        <w:pStyle w:val="FrameContents"/>
                        <w:spacing w:lineRule="auto" w:line="240" w:before="0" w:after="0"/>
                        <w:jc w:val="both"/>
                        <w:rPr>
                          <w:rFonts w:eastAsia="Calibri"/>
                          <w:b w:val="false"/>
                          <w:b w:val="false"/>
                          <w:bCs w:val="false"/>
                          <w:i/>
                          <w:i/>
                          <w:iCs/>
                          <w:sz w:val="18"/>
                          <w:szCs w:val="18"/>
                        </w:rPr>
                      </w:pPr>
                      <w:r>
                        <w:rPr>
                          <w:rFonts w:eastAsia="Calibri"/>
                          <w:b w:val="false"/>
                          <w:bCs w:val="false"/>
                          <w:i/>
                          <w:iCs/>
                          <w:sz w:val="18"/>
                          <w:szCs w:val="18"/>
                        </w:rPr>
                      </w:r>
                    </w:p>
                    <w:p>
                      <w:pPr>
                        <w:pStyle w:val="FrameContents"/>
                        <w:overflowPunct w:val="false"/>
                        <w:spacing w:lineRule="auto" w:line="240" w:before="0" w:after="0"/>
                        <w:jc w:val="both"/>
                        <w:rPr/>
                      </w:pPr>
                      <w:r>
                        <w:rPr>
                          <w:rFonts w:eastAsia="Calibri"/>
                          <w:b w:val="false"/>
                          <w:bCs w:val="false"/>
                          <w:i w:val="false"/>
                          <w:caps w:val="false"/>
                          <w:smallCaps w:val="false"/>
                          <w:color w:val="00000A"/>
                          <w:spacing w:val="0"/>
                          <w:sz w:val="18"/>
                          <w:szCs w:val="18"/>
                          <w:u w:val="single"/>
                          <w:lang w:eastAsia="en-US"/>
                        </w:rPr>
                        <w:t xml:space="preserve">CERO 85300 </w:t>
                      </w:r>
                      <w:r>
                        <w:rPr>
                          <w:rFonts w:eastAsia="Calibri"/>
                          <w:b w:val="false"/>
                          <w:bCs w:val="false"/>
                          <w:i w:val="false"/>
                          <w:caps w:val="false"/>
                          <w:smallCaps w:val="false"/>
                          <w:color w:val="00000A"/>
                          <w:spacing w:val="0"/>
                          <w:sz w:val="18"/>
                          <w:szCs w:val="18"/>
                          <w:lang w:eastAsia="en-US"/>
                        </w:rPr>
                        <w:t>- intervient dans la conception et le design de moules d’injection plastique pour le secteur automobile et aéronautique. Le projet porte sur la modernisation et la digitalisation de l’outil de production pour l’adapter aux évolutions technologiques des véhicules.</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la conversion des véhicules légers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primes à la conversion : 2169</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170850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159795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4" w:name="__DdeLink__225_36144007584"/>
            <w:bookmarkEnd w:id="4"/>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11209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10508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7618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2169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2020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1853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5985" cy="2426970"/>
                <wp:effectExtent l="0" t="0" r="0" b="0"/>
                <wp:wrapNone/>
                <wp:docPr id="2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7">
                <wp:simplePos x="0" y="0"/>
                <wp:positionH relativeFrom="column">
                  <wp:posOffset>-902970</wp:posOffset>
                </wp:positionH>
                <wp:positionV relativeFrom="paragraph">
                  <wp:posOffset>2577465</wp:posOffset>
                </wp:positionV>
                <wp:extent cx="7550150" cy="139065"/>
                <wp:effectExtent l="0" t="0" r="0" b="0"/>
                <wp:wrapNone/>
                <wp:docPr id="2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109">
                <wp:simplePos x="0" y="0"/>
                <wp:positionH relativeFrom="column">
                  <wp:posOffset>0</wp:posOffset>
                </wp:positionH>
                <wp:positionV relativeFrom="paragraph">
                  <wp:posOffset>28575</wp:posOffset>
                </wp:positionV>
                <wp:extent cx="5975985" cy="2653030"/>
                <wp:effectExtent l="0" t="0" r="0" b="0"/>
                <wp:wrapNone/>
                <wp:docPr id="2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Soutien recherche aéronautique civil</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projets soutenus : 0</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234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5" w:name="__DdeLink__225_36144007585"/>
            <w:bookmarkEnd w:id="5"/>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5985" cy="2426970"/>
                <wp:effectExtent l="0" t="0" r="0" b="0"/>
                <wp:wrapNone/>
                <wp:docPr id="3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6">
                <wp:simplePos x="0" y="0"/>
                <wp:positionH relativeFrom="column">
                  <wp:posOffset>-902970</wp:posOffset>
                </wp:positionH>
                <wp:positionV relativeFrom="paragraph">
                  <wp:posOffset>2577465</wp:posOffset>
                </wp:positionV>
                <wp:extent cx="7550150" cy="139065"/>
                <wp:effectExtent l="0" t="0" r="0" b="0"/>
                <wp:wrapNone/>
                <wp:docPr id="3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108">
                <wp:simplePos x="0" y="0"/>
                <wp:positionH relativeFrom="column">
                  <wp:posOffset>0</wp:posOffset>
                </wp:positionH>
                <wp:positionV relativeFrom="paragraph">
                  <wp:posOffset>28575</wp:posOffset>
                </wp:positionV>
                <wp:extent cx="5975985" cy="2653030"/>
                <wp:effectExtent l="0" t="0" r="0" b="0"/>
                <wp:wrapNone/>
                <wp:docPr id="3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Corpsdetexte"/>
                              <w:overflowPunct w:val="false"/>
                              <w:spacing w:lineRule="auto" w:line="240" w:before="0" w:after="0"/>
                              <w:rPr/>
                            </w:pPr>
                            <w:r>
                              <w:rPr>
                                <w:b/>
                              </w:rPr>
                              <w:t>Rollix -Defontaines La Bruffière (2 dossiers)</w:t>
                            </w:r>
                          </w:p>
                          <w:p>
                            <w:pPr>
                              <w:pStyle w:val="Corpsdetexte"/>
                              <w:overflowPunct w:val="false"/>
                              <w:spacing w:lineRule="auto" w:line="240" w:before="0" w:after="0"/>
                              <w:rPr>
                                <w:b/>
                                <w:b/>
                              </w:rPr>
                            </w:pPr>
                            <w:r>
                              <w:rPr>
                                <w:b/>
                              </w:rPr>
                            </w:r>
                          </w:p>
                          <w:p>
                            <w:pPr>
                              <w:pStyle w:val="Corpsdetexte"/>
                              <w:overflowPunct w:val="false"/>
                              <w:spacing w:lineRule="auto" w:line="240" w:before="0" w:after="0"/>
                              <w:rPr/>
                            </w:pPr>
                            <w:r>
                              <w:rPr>
                                <w:b/>
                              </w:rPr>
                              <w:t xml:space="preserve">Ledoux Fontenay le Comte </w:t>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Corpsdetexte"/>
                        <w:overflowPunct w:val="false"/>
                        <w:spacing w:lineRule="auto" w:line="240" w:before="0" w:after="0"/>
                        <w:rPr/>
                      </w:pPr>
                      <w:r>
                        <w:rPr>
                          <w:b/>
                        </w:rPr>
                        <w:t>Rollix -Defontaines La Bruffière (2 dossiers)</w:t>
                      </w:r>
                    </w:p>
                    <w:p>
                      <w:pPr>
                        <w:pStyle w:val="Corpsdetexte"/>
                        <w:overflowPunct w:val="false"/>
                        <w:spacing w:lineRule="auto" w:line="240" w:before="0" w:after="0"/>
                        <w:rPr>
                          <w:b/>
                          <w:b/>
                        </w:rPr>
                      </w:pPr>
                      <w:r>
                        <w:rPr>
                          <w:b/>
                        </w:rPr>
                      </w:r>
                    </w:p>
                    <w:p>
                      <w:pPr>
                        <w:pStyle w:val="Corpsdetexte"/>
                        <w:overflowPunct w:val="false"/>
                        <w:spacing w:lineRule="auto" w:line="240" w:before="0" w:after="0"/>
                        <w:rPr/>
                      </w:pPr>
                      <w:r>
                        <w:rPr>
                          <w:b/>
                        </w:rPr>
                        <w:t xml:space="preserve">Ledoux Fontenay le Comte </w:t>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Rénovation des bâtiments Etats (marchés notifiés)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bâtiments dont le marché de rénovation est notifié : 0</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587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296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107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6" w:name="__DdeLink__225_36144007586"/>
            <w:bookmarkEnd w:id="6"/>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5985" cy="2426970"/>
                <wp:effectExtent l="0" t="0" r="0" b="0"/>
                <wp:wrapNone/>
                <wp:docPr id="3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5">
                <wp:simplePos x="0" y="0"/>
                <wp:positionH relativeFrom="column">
                  <wp:posOffset>-902970</wp:posOffset>
                </wp:positionH>
                <wp:positionV relativeFrom="paragraph">
                  <wp:posOffset>2577465</wp:posOffset>
                </wp:positionV>
                <wp:extent cx="7550150" cy="139065"/>
                <wp:effectExtent l="0" t="0" r="0" b="0"/>
                <wp:wrapNone/>
                <wp:docPr id="3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107">
                <wp:simplePos x="0" y="0"/>
                <wp:positionH relativeFrom="column">
                  <wp:posOffset>0</wp:posOffset>
                </wp:positionH>
                <wp:positionV relativeFrom="paragraph">
                  <wp:posOffset>28575</wp:posOffset>
                </wp:positionV>
                <wp:extent cx="5975985" cy="2653030"/>
                <wp:effectExtent l="0" t="0" r="0" b="0"/>
                <wp:wrapNone/>
                <wp:docPr id="3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t>Avec 37 opérations traitant de la rénovation énergétiques des bâtmients de l’État, le département de la Vendée représente plus de 23 % des opérations de rénovations énergétiques des bâtiments de l’État pour la région des Pays de la Loire.</w:t>
                            </w:r>
                          </w:p>
                          <w:p>
                            <w:pPr>
                              <w:pStyle w:val="FrameContents"/>
                              <w:overflowPunct w:val="false"/>
                              <w:spacing w:lineRule="auto" w:line="240" w:before="0" w:after="0"/>
                              <w:rPr/>
                            </w:pPr>
                            <w:r>
                              <w:rPr/>
                            </w:r>
                          </w:p>
                          <w:p>
                            <w:pPr>
                              <w:pStyle w:val="FrameContents"/>
                              <w:overflowPunct w:val="false"/>
                              <w:spacing w:lineRule="auto" w:line="240" w:before="0" w:after="0"/>
                              <w:rPr/>
                            </w:pPr>
                            <w:r>
                              <w:rPr/>
                              <w:t>Ces rénovations énergétiques représentent un montant de subvention global de plus de 1,5 Millions d’euros soit un peu moins de 5,5 % de l’enveloppe globale pour la région des pays de la Loire représentant près de 27,5 Millions d’euros.</w:t>
                            </w:r>
                          </w:p>
                          <w:p>
                            <w:pPr>
                              <w:pStyle w:val="FrameContents"/>
                              <w:overflowPunct w:val="false"/>
                              <w:spacing w:lineRule="auto" w:line="240" w:before="0" w:after="0"/>
                              <w:rPr/>
                            </w:pPr>
                            <w:r>
                              <w:rPr/>
                            </w:r>
                          </w:p>
                          <w:p>
                            <w:pPr>
                              <w:pStyle w:val="FrameContents"/>
                              <w:overflowPunct w:val="false"/>
                              <w:spacing w:lineRule="auto" w:line="240" w:before="0" w:after="0"/>
                              <w:rPr/>
                            </w:pPr>
                            <w:r>
                              <w:rPr/>
                              <w:t>Plus de 67 % des opérations initiées se situent pour la Vendée sous le seuil des 40 K euros. Les 3 principales opérations représentent à elles seules plus de 36 % de l’enveloppe vendéennes allouée à cette rénovation énergétiques des bâtiments de l’État.</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Espace Commentaires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t>Avec 37 opérations traitant de la rénovation énergétiques des bâtmients de l’État, le département de la Vendée représente plus de 23 % des opérations de rénovations énergétiques des bâtiments de l’État pour la région des Pays de la Loire.</w:t>
                      </w:r>
                    </w:p>
                    <w:p>
                      <w:pPr>
                        <w:pStyle w:val="FrameContents"/>
                        <w:overflowPunct w:val="false"/>
                        <w:spacing w:lineRule="auto" w:line="240" w:before="0" w:after="0"/>
                        <w:rPr/>
                      </w:pPr>
                      <w:r>
                        <w:rPr/>
                      </w:r>
                    </w:p>
                    <w:p>
                      <w:pPr>
                        <w:pStyle w:val="FrameContents"/>
                        <w:overflowPunct w:val="false"/>
                        <w:spacing w:lineRule="auto" w:line="240" w:before="0" w:after="0"/>
                        <w:rPr/>
                      </w:pPr>
                      <w:r>
                        <w:rPr/>
                        <w:t>Ces rénovations énergétiques représentent un montant de subvention global de plus de 1,5 Millions d’euros soit un peu moins de 5,5 % de l’enveloppe globale pour la région des pays de la Loire représentant près de 27,5 Millions d’euros.</w:t>
                      </w:r>
                    </w:p>
                    <w:p>
                      <w:pPr>
                        <w:pStyle w:val="FrameContents"/>
                        <w:overflowPunct w:val="false"/>
                        <w:spacing w:lineRule="auto" w:line="240" w:before="0" w:after="0"/>
                        <w:rPr/>
                      </w:pPr>
                      <w:r>
                        <w:rPr/>
                      </w:r>
                    </w:p>
                    <w:p>
                      <w:pPr>
                        <w:pStyle w:val="FrameContents"/>
                        <w:overflowPunct w:val="false"/>
                        <w:spacing w:lineRule="auto" w:line="240" w:before="0" w:after="0"/>
                        <w:rPr/>
                      </w:pPr>
                      <w:r>
                        <w:rPr/>
                        <w:t>Plus de 67 % des opérations initiées se situent pour la Vendée sous le seuil des 40 K euros. Les 3 principales opérations représentent à elles seules plus de 36 % de l’enveloppe vendéennes allouée à cette rénovation énergétiques des bâtiments de l’État.</w:t>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106">
                <wp:simplePos x="0" y="0"/>
                <wp:positionH relativeFrom="column">
                  <wp:posOffset>-191770</wp:posOffset>
                </wp:positionH>
                <wp:positionV relativeFrom="paragraph">
                  <wp:posOffset>1367790</wp:posOffset>
                </wp:positionV>
                <wp:extent cx="6081395" cy="4611370"/>
                <wp:effectExtent l="0" t="0" r="0" b="0"/>
                <wp:wrapNone/>
                <wp:docPr id="40" name="Forme1"/>
                <a:graphic xmlns:a="http://schemas.openxmlformats.org/drawingml/2006/main">
                  <a:graphicData uri="http://schemas.microsoft.com/office/word/2010/wordprocessingShape">
                    <wps:wsp>
                      <wps:cNvSpPr/>
                      <wps:spPr>
                        <a:xfrm>
                          <a:off x="0" y="0"/>
                          <a:ext cx="6080760" cy="461088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rPr>
                            </w:pPr>
                            <w:r>
                              <w:rPr>
                                <w:rFonts w:eastAsia="Calibri"/>
                                <w:b/>
                                <w:bCs/>
                                <w:color w:val="00000A"/>
                              </w:rPr>
                              <w:t xml:space="preserve">Commentaires généraux sur le Plan de Relance– </w:t>
                            </w:r>
                            <w:r>
                              <w:rPr>
                                <w:rFonts w:eastAsia="Calibri"/>
                                <w:b/>
                                <w:bCs/>
                                <w:color w:val="00000A"/>
                                <w:sz w:val="18"/>
                                <w:szCs w:val="18"/>
                              </w:rPr>
                              <w:t>données à fin avril sur la période globale du Plan de Relance</w:t>
                            </w:r>
                          </w:p>
                          <w:p>
                            <w:pPr>
                              <w:pStyle w:val="FrameContents"/>
                              <w:overflowPunct w:val="false"/>
                              <w:spacing w:lineRule="auto" w:line="240" w:before="0" w:after="0"/>
                              <w:jc w:val="both"/>
                              <w:rPr/>
                            </w:pPr>
                            <w:r>
                              <w:rPr/>
                              <w:t>Le Plan de relance représente pour la région Pays de la Loire une enveloppe de 2 813 Millions d’euros consommée pour 68,3 % sur le volet cohésion, 22,5 % sur le volet compétitivité et 9,2 % sur le volet écologie.</w:t>
                            </w:r>
                          </w:p>
                          <w:p>
                            <w:pPr>
                              <w:pStyle w:val="FrameContents"/>
                              <w:overflowPunct w:val="false"/>
                              <w:spacing w:lineRule="auto" w:line="240" w:before="0" w:after="0"/>
                              <w:jc w:val="both"/>
                              <w:rPr/>
                            </w:pPr>
                            <w:r>
                              <w:rPr/>
                              <w:t>Le département de la Vendée a bénéficié d’un peu plus de 16% de cette enveloppe globale du plan de relance pour la région Pays de la Loire ce qui correspond à une enveloppe de 456 Millions d’euros.</w:t>
                            </w:r>
                          </w:p>
                          <w:p>
                            <w:pPr>
                              <w:pStyle w:val="FrameContents"/>
                              <w:overflowPunct w:val="false"/>
                              <w:spacing w:lineRule="auto" w:line="240" w:before="0" w:after="0"/>
                              <w:jc w:val="both"/>
                              <w:rPr/>
                            </w:pPr>
                            <w:r>
                              <w:rPr/>
                              <w:t>La consommation de ce plan de relance pour le département de la Vendée a bénéficié pour 70,5 % au volet cohésion, pour 24 % au volet compétitivité et pour 5,5 % pour le volet écologie.</w:t>
                            </w:r>
                          </w:p>
                          <w:p>
                            <w:pPr>
                              <w:pStyle w:val="FrameContents"/>
                              <w:overflowPunct w:val="false"/>
                              <w:spacing w:lineRule="auto" w:line="240" w:before="0" w:after="0"/>
                              <w:jc w:val="both"/>
                              <w:rPr>
                                <w:b/>
                                <w:b/>
                              </w:rPr>
                            </w:pPr>
                            <w:r>
                              <w:rPr>
                                <w:b/>
                              </w:rPr>
                            </w:r>
                          </w:p>
                          <w:p>
                            <w:pPr>
                              <w:pStyle w:val="FrameContents"/>
                              <w:spacing w:lineRule="auto" w:line="240" w:before="0" w:after="0"/>
                              <w:jc w:val="both"/>
                              <w:rPr/>
                            </w:pPr>
                            <w:r>
                              <w:rPr>
                                <w:rFonts w:eastAsia="Calibri" w:cs="Tahoma"/>
                                <w:b/>
                                <w:color w:val="00000A"/>
                                <w:kern w:val="0"/>
                                <w:sz w:val="22"/>
                                <w:szCs w:val="22"/>
                                <w:lang w:val="fr-FR" w:eastAsia="en-US" w:bidi="ar-SA"/>
                              </w:rPr>
                              <w:t xml:space="preserve">Commentaires spécifiques au </w:t>
                            </w:r>
                            <w:r>
                              <w:rPr>
                                <w:b/>
                              </w:rPr>
                              <w:t>volet compétitivité</w:t>
                            </w:r>
                          </w:p>
                          <w:p>
                            <w:pPr>
                              <w:pStyle w:val="FrameContents"/>
                              <w:spacing w:lineRule="auto" w:line="240" w:before="0" w:after="0"/>
                              <w:jc w:val="both"/>
                              <w:rPr/>
                            </w:pPr>
                            <w:r>
                              <w:rPr/>
                              <w:t>Avec 24% du plan de relance vendéen affecté sur ce volet, le département de la Vendée se positionne dans la moyenne haute d’investissement pour la région Pays de la Loire qui collectivement a investi près de 22,5% du plan de relance sur ce volet compétitivité.</w:t>
                            </w:r>
                          </w:p>
                          <w:p>
                            <w:pPr>
                              <w:pStyle w:val="FrameContents"/>
                              <w:spacing w:lineRule="auto" w:line="240" w:before="0" w:after="0"/>
                              <w:jc w:val="both"/>
                              <w:rPr/>
                            </w:pPr>
                            <w:r>
                              <w:rPr/>
                            </w:r>
                          </w:p>
                          <w:p>
                            <w:pPr>
                              <w:pStyle w:val="FrameContents"/>
                              <w:overflowPunct w:val="false"/>
                              <w:spacing w:lineRule="auto" w:line="240" w:before="0" w:after="0"/>
                              <w:jc w:val="both"/>
                              <w:rPr/>
                            </w:pPr>
                            <w:r>
                              <w:rPr>
                                <w:lang w:val="x-none"/>
                              </w:rPr>
                              <w:t xml:space="preserve">Le volet compétitivité représentant près de </w:t>
                            </w:r>
                            <w:r>
                              <w:rPr>
                                <w:rFonts w:eastAsia="Calibri" w:cs="Tahoma"/>
                                <w:color w:val="00000A"/>
                                <w:kern w:val="0"/>
                                <w:sz w:val="22"/>
                                <w:szCs w:val="22"/>
                                <w:lang w:val="x-none" w:eastAsia="en-US" w:bidi="ar-SA"/>
                              </w:rPr>
                              <w:t>109,5</w:t>
                            </w:r>
                            <w:r>
                              <w:rPr>
                                <w:lang w:val="x-none"/>
                              </w:rPr>
                              <w:t xml:space="preserve"> Millions d’euros pour la Vendée, la neutralisation de l’accompagnement relatif à la baisse des impôts de production doit être réalisée.</w:t>
                            </w:r>
                          </w:p>
                          <w:p>
                            <w:pPr>
                              <w:pStyle w:val="FrameContents"/>
                              <w:overflowPunct w:val="false"/>
                              <w:spacing w:lineRule="auto" w:line="240" w:before="0" w:after="0"/>
                              <w:jc w:val="both"/>
                              <w:rPr>
                                <w:lang w:val="x-none"/>
                              </w:rPr>
                            </w:pPr>
                            <w:r>
                              <w:rPr>
                                <w:lang w:val="x-none"/>
                              </w:rPr>
                            </w:r>
                          </w:p>
                          <w:p>
                            <w:pPr>
                              <w:pStyle w:val="FrameContents"/>
                              <w:overflowPunct w:val="false"/>
                              <w:spacing w:lineRule="auto" w:line="240" w:before="0" w:after="0"/>
                              <w:jc w:val="both"/>
                              <w:rPr/>
                            </w:pPr>
                            <w:r>
                              <w:rPr>
                                <w:lang w:val="x-none"/>
                              </w:rPr>
                              <w:t xml:space="preserve">Cette subvention contribue pour près de 92,2 Millions d’euros à l’effort financier à destination de près de  7 800 entreprises pour le département de la Vendée soit </w:t>
                            </w:r>
                            <w:r>
                              <w:rPr>
                                <w:rFonts w:eastAsia="Calibri" w:cs="Tahoma"/>
                                <w:color w:val="00000A"/>
                                <w:kern w:val="0"/>
                                <w:sz w:val="22"/>
                                <w:szCs w:val="22"/>
                                <w:lang w:val="x-none" w:eastAsia="en-US" w:bidi="ar-SA"/>
                              </w:rPr>
                              <w:t>l’équivalent moyen</w:t>
                            </w:r>
                            <w:r>
                              <w:rPr>
                                <w:lang w:val="x-none"/>
                              </w:rPr>
                              <w:t xml:space="preserve"> de 12 000 euros de baisse d’impôt de production par bénéficiaire.</w:t>
                            </w:r>
                          </w:p>
                          <w:p>
                            <w:pPr>
                              <w:pStyle w:val="FrameContents"/>
                              <w:overflowPunct w:val="false"/>
                              <w:spacing w:lineRule="auto" w:line="240" w:before="0" w:after="0"/>
                              <w:jc w:val="both"/>
                              <w:rPr>
                                <w:lang w:val="x-none"/>
                              </w:rPr>
                            </w:pPr>
                            <w:r>
                              <w:rPr>
                                <w:lang w:val="x-none"/>
                              </w:rPr>
                            </w:r>
                          </w:p>
                          <w:p>
                            <w:pPr>
                              <w:pStyle w:val="FrameContents"/>
                              <w:overflowPunct w:val="false"/>
                              <w:spacing w:lineRule="auto" w:line="240" w:before="0" w:after="0"/>
                              <w:jc w:val="both"/>
                              <w:rPr/>
                            </w:pPr>
                            <w:r>
                              <w:rPr/>
                              <w:t>Le département de la Vendée représente près de 22% des opérations régionales en lien avec le volet compétitivité pour un peu plus de 18 % de l’effort financier en intégrant la neutralisation de la baisse des impôts de production.</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color w:val="000000"/>
                              </w:rPr>
                              <w:t>Ce volet compétitivité a permis d’accompagner 57 opérations pour un montant global de 17,3 Millions d’euros soit un ticket moyen de 304 535 euros.</w:t>
                            </w:r>
                          </w:p>
                        </w:txbxContent>
                      </wps:txbx>
                      <wps:bodyPr lIns="0" rIns="0" tIns="0" bIns="0">
                        <a:spAutoFit/>
                      </wps:bodyPr>
                    </wps:wsp>
                  </a:graphicData>
                </a:graphic>
              </wp:anchor>
            </w:drawing>
          </mc:Choice>
          <mc:Fallback>
            <w:pict>
              <v:rect id="shape_0" ID="Forme1" stroked="t" style="position:absolute;margin-left:-15.1pt;margin-top:107.7pt;width:478.75pt;height:363pt">
                <w10:wrap type="square"/>
                <v:fill o:detectmouseclick="t" on="false"/>
                <v:stroke color="black" joinstyle="round" endcap="flat"/>
                <v:textbox>
                  <w:txbxContent>
                    <w:p>
                      <w:pPr>
                        <w:pStyle w:val="FrameContents"/>
                        <w:overflowPunct w:val="false"/>
                        <w:spacing w:lineRule="auto" w:line="240" w:before="0" w:after="0"/>
                        <w:rPr>
                          <w:rFonts w:eastAsia="Calibri"/>
                          <w:b/>
                          <w:b/>
                          <w:bCs/>
                          <w:color w:val="00000A"/>
                        </w:rPr>
                      </w:pPr>
                      <w:r>
                        <w:rPr>
                          <w:rFonts w:eastAsia="Calibri"/>
                          <w:b/>
                          <w:bCs/>
                          <w:color w:val="00000A"/>
                        </w:rPr>
                        <w:t xml:space="preserve">Commentaires généraux sur le Plan de Relance– </w:t>
                      </w:r>
                      <w:r>
                        <w:rPr>
                          <w:rFonts w:eastAsia="Calibri"/>
                          <w:b/>
                          <w:bCs/>
                          <w:color w:val="00000A"/>
                          <w:sz w:val="18"/>
                          <w:szCs w:val="18"/>
                        </w:rPr>
                        <w:t>données à fin avril sur la période globale du Plan de Relance</w:t>
                      </w:r>
                    </w:p>
                    <w:p>
                      <w:pPr>
                        <w:pStyle w:val="FrameContents"/>
                        <w:overflowPunct w:val="false"/>
                        <w:spacing w:lineRule="auto" w:line="240" w:before="0" w:after="0"/>
                        <w:jc w:val="both"/>
                        <w:rPr/>
                      </w:pPr>
                      <w:r>
                        <w:rPr/>
                        <w:t>Le Plan de relance représente pour la région Pays de la Loire une enveloppe de 2 813 Millions d’euros consommée pour 68,3 % sur le volet cohésion, 22,5 % sur le volet compétitivité et 9,2 % sur le volet écologie.</w:t>
                      </w:r>
                    </w:p>
                    <w:p>
                      <w:pPr>
                        <w:pStyle w:val="FrameContents"/>
                        <w:overflowPunct w:val="false"/>
                        <w:spacing w:lineRule="auto" w:line="240" w:before="0" w:after="0"/>
                        <w:jc w:val="both"/>
                        <w:rPr/>
                      </w:pPr>
                      <w:r>
                        <w:rPr/>
                        <w:t>Le département de la Vendée a bénéficié d’un peu plus de 16% de cette enveloppe globale du plan de relance pour la région Pays de la Loire ce qui correspond à une enveloppe de 456 Millions d’euros.</w:t>
                      </w:r>
                    </w:p>
                    <w:p>
                      <w:pPr>
                        <w:pStyle w:val="FrameContents"/>
                        <w:overflowPunct w:val="false"/>
                        <w:spacing w:lineRule="auto" w:line="240" w:before="0" w:after="0"/>
                        <w:jc w:val="both"/>
                        <w:rPr/>
                      </w:pPr>
                      <w:r>
                        <w:rPr/>
                        <w:t>La consommation de ce plan de relance pour le département de la Vendée a bénéficié pour 70,5 % au volet cohésion, pour 24 % au volet compétitivité et pour 5,5 % pour le volet écologie.</w:t>
                      </w:r>
                    </w:p>
                    <w:p>
                      <w:pPr>
                        <w:pStyle w:val="FrameContents"/>
                        <w:overflowPunct w:val="false"/>
                        <w:spacing w:lineRule="auto" w:line="240" w:before="0" w:after="0"/>
                        <w:jc w:val="both"/>
                        <w:rPr>
                          <w:b/>
                          <w:b/>
                        </w:rPr>
                      </w:pPr>
                      <w:r>
                        <w:rPr>
                          <w:b/>
                        </w:rPr>
                      </w:r>
                    </w:p>
                    <w:p>
                      <w:pPr>
                        <w:pStyle w:val="FrameContents"/>
                        <w:spacing w:lineRule="auto" w:line="240" w:before="0" w:after="0"/>
                        <w:jc w:val="both"/>
                        <w:rPr/>
                      </w:pPr>
                      <w:r>
                        <w:rPr>
                          <w:rFonts w:eastAsia="Calibri" w:cs="Tahoma"/>
                          <w:b/>
                          <w:color w:val="00000A"/>
                          <w:kern w:val="0"/>
                          <w:sz w:val="22"/>
                          <w:szCs w:val="22"/>
                          <w:lang w:val="fr-FR" w:eastAsia="en-US" w:bidi="ar-SA"/>
                        </w:rPr>
                        <w:t xml:space="preserve">Commentaires spécifiques au </w:t>
                      </w:r>
                      <w:r>
                        <w:rPr>
                          <w:b/>
                        </w:rPr>
                        <w:t>volet compétitivité</w:t>
                      </w:r>
                    </w:p>
                    <w:p>
                      <w:pPr>
                        <w:pStyle w:val="FrameContents"/>
                        <w:spacing w:lineRule="auto" w:line="240" w:before="0" w:after="0"/>
                        <w:jc w:val="both"/>
                        <w:rPr/>
                      </w:pPr>
                      <w:r>
                        <w:rPr/>
                        <w:t>Avec 24% du plan de relance vendéen affecté sur ce volet, le département de la Vendée se positionne dans la moyenne haute d’investissement pour la région Pays de la Loire qui collectivement a investi près de 22,5% du plan de relance sur ce volet compétitivité.</w:t>
                      </w:r>
                    </w:p>
                    <w:p>
                      <w:pPr>
                        <w:pStyle w:val="FrameContents"/>
                        <w:spacing w:lineRule="auto" w:line="240" w:before="0" w:after="0"/>
                        <w:jc w:val="both"/>
                        <w:rPr/>
                      </w:pPr>
                      <w:r>
                        <w:rPr/>
                      </w:r>
                    </w:p>
                    <w:p>
                      <w:pPr>
                        <w:pStyle w:val="FrameContents"/>
                        <w:overflowPunct w:val="false"/>
                        <w:spacing w:lineRule="auto" w:line="240" w:before="0" w:after="0"/>
                        <w:jc w:val="both"/>
                        <w:rPr/>
                      </w:pPr>
                      <w:r>
                        <w:rPr>
                          <w:lang w:val="x-none"/>
                        </w:rPr>
                        <w:t xml:space="preserve">Le volet compétitivité représentant près de </w:t>
                      </w:r>
                      <w:r>
                        <w:rPr>
                          <w:rFonts w:eastAsia="Calibri" w:cs="Tahoma"/>
                          <w:color w:val="00000A"/>
                          <w:kern w:val="0"/>
                          <w:sz w:val="22"/>
                          <w:szCs w:val="22"/>
                          <w:lang w:val="x-none" w:eastAsia="en-US" w:bidi="ar-SA"/>
                        </w:rPr>
                        <w:t>109,5</w:t>
                      </w:r>
                      <w:r>
                        <w:rPr>
                          <w:lang w:val="x-none"/>
                        </w:rPr>
                        <w:t xml:space="preserve"> Millions d’euros pour la Vendée, la neutralisation de l’accompagnement relatif à la baisse des impôts de production doit être réalisée.</w:t>
                      </w:r>
                    </w:p>
                    <w:p>
                      <w:pPr>
                        <w:pStyle w:val="FrameContents"/>
                        <w:overflowPunct w:val="false"/>
                        <w:spacing w:lineRule="auto" w:line="240" w:before="0" w:after="0"/>
                        <w:jc w:val="both"/>
                        <w:rPr>
                          <w:lang w:val="x-none"/>
                        </w:rPr>
                      </w:pPr>
                      <w:r>
                        <w:rPr>
                          <w:lang w:val="x-none"/>
                        </w:rPr>
                      </w:r>
                    </w:p>
                    <w:p>
                      <w:pPr>
                        <w:pStyle w:val="FrameContents"/>
                        <w:overflowPunct w:val="false"/>
                        <w:spacing w:lineRule="auto" w:line="240" w:before="0" w:after="0"/>
                        <w:jc w:val="both"/>
                        <w:rPr/>
                      </w:pPr>
                      <w:r>
                        <w:rPr>
                          <w:lang w:val="x-none"/>
                        </w:rPr>
                        <w:t xml:space="preserve">Cette subvention contribue pour près de 92,2 Millions d’euros à l’effort financier à destination de près de  7 800 entreprises pour le département de la Vendée soit </w:t>
                      </w:r>
                      <w:r>
                        <w:rPr>
                          <w:rFonts w:eastAsia="Calibri" w:cs="Tahoma"/>
                          <w:color w:val="00000A"/>
                          <w:kern w:val="0"/>
                          <w:sz w:val="22"/>
                          <w:szCs w:val="22"/>
                          <w:lang w:val="x-none" w:eastAsia="en-US" w:bidi="ar-SA"/>
                        </w:rPr>
                        <w:t>l’équivalent moyen</w:t>
                      </w:r>
                      <w:r>
                        <w:rPr>
                          <w:lang w:val="x-none"/>
                        </w:rPr>
                        <w:t xml:space="preserve"> de 12 000 euros de baisse d’impôt de production par bénéficiaire.</w:t>
                      </w:r>
                    </w:p>
                    <w:p>
                      <w:pPr>
                        <w:pStyle w:val="FrameContents"/>
                        <w:overflowPunct w:val="false"/>
                        <w:spacing w:lineRule="auto" w:line="240" w:before="0" w:after="0"/>
                        <w:jc w:val="both"/>
                        <w:rPr>
                          <w:lang w:val="x-none"/>
                        </w:rPr>
                      </w:pPr>
                      <w:r>
                        <w:rPr>
                          <w:lang w:val="x-none"/>
                        </w:rPr>
                      </w:r>
                    </w:p>
                    <w:p>
                      <w:pPr>
                        <w:pStyle w:val="FrameContents"/>
                        <w:overflowPunct w:val="false"/>
                        <w:spacing w:lineRule="auto" w:line="240" w:before="0" w:after="0"/>
                        <w:jc w:val="both"/>
                        <w:rPr/>
                      </w:pPr>
                      <w:r>
                        <w:rPr/>
                        <w:t>Le département de la Vendée représente près de 22% des opérations régionales en lien avec le volet compétitivité pour un peu plus de 18 % de l’effort financier en intégrant la neutralisation de la baisse des impôts de production.</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color w:val="000000"/>
                        </w:rPr>
                        <w:t>Ce volet compétitivité a permis d’accompagner 57 opérations pour un montant global de 17,3 Millions d’euros soit un ticket moyen de 304 535 euros.</w:t>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8560" cy="139065"/>
                <wp:effectExtent l="0" t="0" r="0" b="0"/>
                <wp:wrapNone/>
                <wp:docPr id="42"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Calibr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Assurance prospection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6</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562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444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358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7" w:name="__DdeLink__225_36144007587"/>
            <w:bookmarkEnd w:id="7"/>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5985" cy="2426970"/>
                <wp:effectExtent l="0" t="0" r="0" b="0"/>
                <wp:wrapNone/>
                <wp:docPr id="4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4">
                <wp:simplePos x="0" y="0"/>
                <wp:positionH relativeFrom="column">
                  <wp:posOffset>-902970</wp:posOffset>
                </wp:positionH>
                <wp:positionV relativeFrom="paragraph">
                  <wp:posOffset>2577465</wp:posOffset>
                </wp:positionV>
                <wp:extent cx="7550150" cy="139065"/>
                <wp:effectExtent l="0" t="0" r="0" b="0"/>
                <wp:wrapNone/>
                <wp:docPr id="4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105">
                <wp:simplePos x="0" y="0"/>
                <wp:positionH relativeFrom="column">
                  <wp:posOffset>0</wp:posOffset>
                </wp:positionH>
                <wp:positionV relativeFrom="paragraph">
                  <wp:posOffset>28575</wp:posOffset>
                </wp:positionV>
                <wp:extent cx="5975985" cy="2653030"/>
                <wp:effectExtent l="0" t="0" r="0" b="0"/>
                <wp:wrapNone/>
                <wp:docPr id="4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rpsdetexte"/>
                              <w:overflowPunct w:val="false"/>
                              <w:spacing w:lineRule="auto" w:line="240" w:before="0" w:after="0"/>
                              <w:rPr>
                                <w:rFonts w:ascii="Calibri" w:hAnsi="Calibri" w:eastAsia="Calibri"/>
                                <w:b/>
                                <w:b/>
                                <w:bCs/>
                                <w:color w:val="00000A"/>
                              </w:rPr>
                            </w:pPr>
                            <w:r>
                              <w:rPr>
                                <w:rFonts w:eastAsia="Calibri"/>
                                <w:b/>
                                <w:bCs/>
                                <w:color w:val="00000A"/>
                              </w:rPr>
                              <w:t>GAUTIER France</w:t>
                            </w:r>
                          </w:p>
                          <w:p>
                            <w:pPr>
                              <w:pStyle w:val="Corpsdetexte"/>
                              <w:overflowPunct w:val="false"/>
                              <w:spacing w:lineRule="auto" w:line="240" w:before="0" w:after="0"/>
                              <w:rPr>
                                <w:rFonts w:cs="Tahoma"/>
                                <w:kern w:val="0"/>
                                <w:sz w:val="22"/>
                                <w:szCs w:val="22"/>
                                <w:lang w:val="fr-FR" w:eastAsia="en-US" w:bidi="ar-SA"/>
                              </w:rPr>
                            </w:pPr>
                            <w:r>
                              <w:rPr>
                                <w:rFonts w:cs="Tahoma"/>
                                <w:kern w:val="0"/>
                                <w:sz w:val="22"/>
                                <w:szCs w:val="22"/>
                                <w:lang w:val="fr-FR" w:eastAsia="en-US" w:bidi="ar-SA"/>
                              </w:rPr>
                            </w:r>
                          </w:p>
                          <w:p>
                            <w:pPr>
                              <w:pStyle w:val="Corpsdetexte"/>
                              <w:overflowPunct w:val="false"/>
                              <w:spacing w:lineRule="auto" w:line="240" w:before="0" w:after="0"/>
                              <w:rPr>
                                <w:rFonts w:ascii="Calibri" w:hAnsi="Calibri" w:eastAsia="Calibri"/>
                                <w:b/>
                                <w:b/>
                                <w:bCs/>
                                <w:color w:val="00000A"/>
                              </w:rPr>
                            </w:pPr>
                            <w:r>
                              <w:rPr>
                                <w:rFonts w:eastAsia="Calibri" w:cs="Tahoma"/>
                                <w:b/>
                                <w:bCs/>
                                <w:color w:val="00000A"/>
                                <w:kern w:val="0"/>
                                <w:sz w:val="22"/>
                                <w:szCs w:val="22"/>
                                <w:lang w:val="fr-FR" w:eastAsia="en-US" w:bidi="ar-SA"/>
                              </w:rPr>
                              <w:t>SCHEIBER</w:t>
                            </w:r>
                          </w:p>
                          <w:p>
                            <w:pPr>
                              <w:pStyle w:val="Corpsdetexte"/>
                              <w:overflowPunct w:val="false"/>
                              <w:spacing w:lineRule="auto" w:line="240" w:before="0" w:after="0"/>
                              <w:rPr>
                                <w:rFonts w:cs="Tahoma"/>
                                <w:kern w:val="0"/>
                                <w:sz w:val="22"/>
                                <w:szCs w:val="22"/>
                                <w:lang w:val="fr-FR" w:eastAsia="en-US" w:bidi="ar-SA"/>
                              </w:rPr>
                            </w:pPr>
                            <w:r>
                              <w:rPr>
                                <w:rFonts w:cs="Tahoma"/>
                                <w:kern w:val="0"/>
                                <w:sz w:val="22"/>
                                <w:szCs w:val="22"/>
                                <w:lang w:val="fr-FR" w:eastAsia="en-US" w:bidi="ar-SA"/>
                              </w:rPr>
                            </w:r>
                          </w:p>
                          <w:p>
                            <w:pPr>
                              <w:pStyle w:val="Corpsdetexte"/>
                              <w:overflowPunct w:val="false"/>
                              <w:spacing w:lineRule="auto" w:line="240" w:before="0" w:after="0"/>
                              <w:rPr>
                                <w:rFonts w:ascii="Calibri" w:hAnsi="Calibri" w:eastAsia="Calibri"/>
                                <w:b/>
                                <w:b/>
                                <w:bCs/>
                                <w:color w:val="00000A"/>
                              </w:rPr>
                            </w:pPr>
                            <w:r>
                              <w:rPr>
                                <w:rFonts w:eastAsia="Calibri" w:cs="Tahoma"/>
                                <w:b/>
                                <w:bCs/>
                                <w:color w:val="00000A"/>
                                <w:kern w:val="0"/>
                                <w:sz w:val="22"/>
                                <w:szCs w:val="22"/>
                                <w:lang w:val="fr-FR" w:eastAsia="en-US" w:bidi="ar-SA"/>
                              </w:rPr>
                              <w:t>CONCEPT ALU</w:t>
                            </w:r>
                          </w:p>
                          <w:p>
                            <w:pPr>
                              <w:pStyle w:val="Corpsdetexte"/>
                              <w:overflowPunct w:val="false"/>
                              <w:spacing w:lineRule="auto" w:line="240" w:before="0" w:after="0"/>
                              <w:rPr>
                                <w:rFonts w:cs="Tahoma"/>
                                <w:kern w:val="0"/>
                                <w:sz w:val="22"/>
                                <w:szCs w:val="22"/>
                                <w:lang w:val="fr-FR" w:eastAsia="en-US" w:bidi="ar-SA"/>
                              </w:rPr>
                            </w:pPr>
                            <w:r>
                              <w:rPr>
                                <w:rFonts w:cs="Tahoma"/>
                                <w:kern w:val="0"/>
                                <w:sz w:val="22"/>
                                <w:szCs w:val="22"/>
                                <w:lang w:val="fr-FR" w:eastAsia="en-US" w:bidi="ar-SA"/>
                              </w:rPr>
                            </w:r>
                          </w:p>
                          <w:p>
                            <w:pPr>
                              <w:pStyle w:val="Corpsdetexte"/>
                              <w:overflowPunct w:val="false"/>
                              <w:spacing w:lineRule="auto" w:line="240" w:before="0" w:after="0"/>
                              <w:rPr/>
                            </w:pPr>
                            <w:r>
                              <w:rPr>
                                <w:rFonts w:eastAsia="Calibri" w:cs="Tahoma"/>
                                <w:b/>
                                <w:bCs/>
                                <w:color w:val="00000A"/>
                                <w:kern w:val="0"/>
                                <w:sz w:val="22"/>
                                <w:szCs w:val="22"/>
                                <w:lang w:val="fr-FR" w:eastAsia="en-US" w:bidi="ar-SA"/>
                              </w:rPr>
                              <w:t xml:space="preserve">DAAN TECHNOLOGIES </w:t>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rpsdetexte"/>
                        <w:overflowPunct w:val="false"/>
                        <w:spacing w:lineRule="auto" w:line="240" w:before="0" w:after="0"/>
                        <w:rPr>
                          <w:rFonts w:ascii="Calibri" w:hAnsi="Calibri" w:eastAsia="Calibri"/>
                          <w:b/>
                          <w:b/>
                          <w:bCs/>
                          <w:color w:val="00000A"/>
                        </w:rPr>
                      </w:pPr>
                      <w:r>
                        <w:rPr>
                          <w:rFonts w:eastAsia="Calibri"/>
                          <w:b/>
                          <w:bCs/>
                          <w:color w:val="00000A"/>
                        </w:rPr>
                        <w:t>GAUTIER France</w:t>
                      </w:r>
                    </w:p>
                    <w:p>
                      <w:pPr>
                        <w:pStyle w:val="Corpsdetexte"/>
                        <w:overflowPunct w:val="false"/>
                        <w:spacing w:lineRule="auto" w:line="240" w:before="0" w:after="0"/>
                        <w:rPr>
                          <w:rFonts w:cs="Tahoma"/>
                          <w:kern w:val="0"/>
                          <w:sz w:val="22"/>
                          <w:szCs w:val="22"/>
                          <w:lang w:val="fr-FR" w:eastAsia="en-US" w:bidi="ar-SA"/>
                        </w:rPr>
                      </w:pPr>
                      <w:r>
                        <w:rPr>
                          <w:rFonts w:cs="Tahoma"/>
                          <w:kern w:val="0"/>
                          <w:sz w:val="22"/>
                          <w:szCs w:val="22"/>
                          <w:lang w:val="fr-FR" w:eastAsia="en-US" w:bidi="ar-SA"/>
                        </w:rPr>
                      </w:r>
                    </w:p>
                    <w:p>
                      <w:pPr>
                        <w:pStyle w:val="Corpsdetexte"/>
                        <w:overflowPunct w:val="false"/>
                        <w:spacing w:lineRule="auto" w:line="240" w:before="0" w:after="0"/>
                        <w:rPr>
                          <w:rFonts w:ascii="Calibri" w:hAnsi="Calibri" w:eastAsia="Calibri"/>
                          <w:b/>
                          <w:b/>
                          <w:bCs/>
                          <w:color w:val="00000A"/>
                        </w:rPr>
                      </w:pPr>
                      <w:r>
                        <w:rPr>
                          <w:rFonts w:eastAsia="Calibri" w:cs="Tahoma"/>
                          <w:b/>
                          <w:bCs/>
                          <w:color w:val="00000A"/>
                          <w:kern w:val="0"/>
                          <w:sz w:val="22"/>
                          <w:szCs w:val="22"/>
                          <w:lang w:val="fr-FR" w:eastAsia="en-US" w:bidi="ar-SA"/>
                        </w:rPr>
                        <w:t>SCHEIBER</w:t>
                      </w:r>
                    </w:p>
                    <w:p>
                      <w:pPr>
                        <w:pStyle w:val="Corpsdetexte"/>
                        <w:overflowPunct w:val="false"/>
                        <w:spacing w:lineRule="auto" w:line="240" w:before="0" w:after="0"/>
                        <w:rPr>
                          <w:rFonts w:cs="Tahoma"/>
                          <w:kern w:val="0"/>
                          <w:sz w:val="22"/>
                          <w:szCs w:val="22"/>
                          <w:lang w:val="fr-FR" w:eastAsia="en-US" w:bidi="ar-SA"/>
                        </w:rPr>
                      </w:pPr>
                      <w:r>
                        <w:rPr>
                          <w:rFonts w:cs="Tahoma"/>
                          <w:kern w:val="0"/>
                          <w:sz w:val="22"/>
                          <w:szCs w:val="22"/>
                          <w:lang w:val="fr-FR" w:eastAsia="en-US" w:bidi="ar-SA"/>
                        </w:rPr>
                      </w:r>
                    </w:p>
                    <w:p>
                      <w:pPr>
                        <w:pStyle w:val="Corpsdetexte"/>
                        <w:overflowPunct w:val="false"/>
                        <w:spacing w:lineRule="auto" w:line="240" w:before="0" w:after="0"/>
                        <w:rPr>
                          <w:rFonts w:ascii="Calibri" w:hAnsi="Calibri" w:eastAsia="Calibri"/>
                          <w:b/>
                          <w:b/>
                          <w:bCs/>
                          <w:color w:val="00000A"/>
                        </w:rPr>
                      </w:pPr>
                      <w:r>
                        <w:rPr>
                          <w:rFonts w:eastAsia="Calibri" w:cs="Tahoma"/>
                          <w:b/>
                          <w:bCs/>
                          <w:color w:val="00000A"/>
                          <w:kern w:val="0"/>
                          <w:sz w:val="22"/>
                          <w:szCs w:val="22"/>
                          <w:lang w:val="fr-FR" w:eastAsia="en-US" w:bidi="ar-SA"/>
                        </w:rPr>
                        <w:t>CONCEPT ALU</w:t>
                      </w:r>
                    </w:p>
                    <w:p>
                      <w:pPr>
                        <w:pStyle w:val="Corpsdetexte"/>
                        <w:overflowPunct w:val="false"/>
                        <w:spacing w:lineRule="auto" w:line="240" w:before="0" w:after="0"/>
                        <w:rPr>
                          <w:rFonts w:cs="Tahoma"/>
                          <w:kern w:val="0"/>
                          <w:sz w:val="22"/>
                          <w:szCs w:val="22"/>
                          <w:lang w:val="fr-FR" w:eastAsia="en-US" w:bidi="ar-SA"/>
                        </w:rPr>
                      </w:pPr>
                      <w:r>
                        <w:rPr>
                          <w:rFonts w:cs="Tahoma"/>
                          <w:kern w:val="0"/>
                          <w:sz w:val="22"/>
                          <w:szCs w:val="22"/>
                          <w:lang w:val="fr-FR" w:eastAsia="en-US" w:bidi="ar-SA"/>
                        </w:rPr>
                      </w:r>
                    </w:p>
                    <w:p>
                      <w:pPr>
                        <w:pStyle w:val="Corpsdetexte"/>
                        <w:overflowPunct w:val="false"/>
                        <w:spacing w:lineRule="auto" w:line="240" w:before="0" w:after="0"/>
                        <w:rPr/>
                      </w:pPr>
                      <w:r>
                        <w:rPr>
                          <w:rFonts w:eastAsia="Calibri" w:cs="Tahoma"/>
                          <w:b/>
                          <w:bCs/>
                          <w:color w:val="00000A"/>
                          <w:kern w:val="0"/>
                          <w:sz w:val="22"/>
                          <w:szCs w:val="22"/>
                          <w:lang w:val="fr-FR" w:eastAsia="en-US" w:bidi="ar-SA"/>
                        </w:rPr>
                        <w:t xml:space="preserve">DAAN TECHNOLOGIES </w:t>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France Num : aide à la numérisation des TPE,PME,ETI</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d'accompagnements dispensés : 374</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27991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11866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8" w:name="__DdeLink__225_36144007588"/>
            <w:bookmarkEnd w:id="8"/>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1718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287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374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133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5985" cy="2426970"/>
                <wp:effectExtent l="0" t="0" r="0" b="0"/>
                <wp:wrapNone/>
                <wp:docPr id="4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3">
                <wp:simplePos x="0" y="0"/>
                <wp:positionH relativeFrom="column">
                  <wp:posOffset>-902970</wp:posOffset>
                </wp:positionH>
                <wp:positionV relativeFrom="paragraph">
                  <wp:posOffset>2577465</wp:posOffset>
                </wp:positionV>
                <wp:extent cx="7550150" cy="139065"/>
                <wp:effectExtent l="0" t="0" r="0" b="0"/>
                <wp:wrapNone/>
                <wp:docPr id="5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104">
                <wp:simplePos x="0" y="0"/>
                <wp:positionH relativeFrom="column">
                  <wp:posOffset>0</wp:posOffset>
                </wp:positionH>
                <wp:positionV relativeFrom="paragraph">
                  <wp:posOffset>28575</wp:posOffset>
                </wp:positionV>
                <wp:extent cx="5975985" cy="2653030"/>
                <wp:effectExtent l="0" t="0" r="0" b="0"/>
                <wp:wrapNone/>
                <wp:docPr id="5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b/>
                                <w:bCs/>
                                <w:color w:val="00000A"/>
                                <w:sz w:val="20"/>
                                <w:szCs w:val="20"/>
                              </w:rPr>
                              <w:t xml:space="preserve"> </w:t>
                            </w:r>
                            <w:r>
                              <w:rPr>
                                <w:rFonts w:eastAsia="Calibri"/>
                                <w:b/>
                                <w:bCs/>
                                <w:color w:val="00000A"/>
                                <w:sz w:val="20"/>
                                <w:szCs w:val="20"/>
                              </w:rPr>
                              <w:t>Exemples de lauréats :</w:t>
                            </w:r>
                          </w:p>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t>LES ESSENTIELLES à CHANTONNAY</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Pizzeria di Venezia (MINA) à La Roche-sur-Yon</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SARL BROCHARD à CHALLANS</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LA FLAMICHE aux  LES ESSARTS</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LE CAFE DES ARTS à Beaulieu sous la Roche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SILOES LIBRAIRIE à La Roche-sur-Yon</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 xml:space="preserve">LES FABLES D'OLONNE au SABLES D'OLONNE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MAROQUINERIE BIBARD à LA ROCHE SUR YON</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 xml:space="preserve">CECI'MODE CHAUSSURES à POUZAUGES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LA BOUTIQUE à NOIRMOUTIER EL'ILE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LES P'TITS VENTRES DE TERRE à LA ROCHE SUR YON</w:t>
                            </w:r>
                          </w:p>
                          <w:p>
                            <w:pPr>
                              <w:pStyle w:val="Normal"/>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pPr>
                      <w:r>
                        <w:rPr>
                          <w:rFonts w:eastAsia="Calibri"/>
                          <w:b/>
                          <w:bCs/>
                          <w:color w:val="00000A"/>
                          <w:sz w:val="20"/>
                          <w:szCs w:val="20"/>
                        </w:rPr>
                        <w:t xml:space="preserve"> </w:t>
                      </w:r>
                      <w:r>
                        <w:rPr>
                          <w:rFonts w:eastAsia="Calibri"/>
                          <w:b/>
                          <w:bCs/>
                          <w:color w:val="00000A"/>
                          <w:sz w:val="20"/>
                          <w:szCs w:val="20"/>
                        </w:rPr>
                        <w:t>Exemples de lauréats :</w:t>
                      </w:r>
                    </w:p>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r>
                    </w:p>
                    <w:p>
                      <w:pPr>
                        <w:pStyle w:val="FrameContents"/>
                        <w:overflowPunct w:val="false"/>
                        <w:spacing w:lineRule="auto" w:line="240" w:before="0" w:after="0"/>
                        <w:rPr>
                          <w:rFonts w:ascii="Calibri" w:hAnsi="Calibri" w:eastAsia="Calibri"/>
                          <w:b/>
                          <w:b/>
                          <w:bCs/>
                          <w:color w:val="00000A"/>
                        </w:rPr>
                      </w:pPr>
                      <w:r>
                        <w:rPr>
                          <w:rFonts w:eastAsia="Calibri"/>
                          <w:b/>
                          <w:bCs/>
                          <w:color w:val="00000A"/>
                        </w:rPr>
                        <w:t>LES ESSENTIELLES à CHANTONNAY</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Pizzeria di Venezia (MINA) à La Roche-sur-Yon</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SARL BROCHARD à CHALLANS</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LA FLAMICHE aux  LES ESSARTS</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LE CAFE DES ARTS à Beaulieu sous la Roche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SILOES LIBRAIRIE à La Roche-sur-Yon</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 xml:space="preserve">LES FABLES D'OLONNE au SABLES D'OLONNE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MAROQUINERIE BIBARD à LA ROCHE SUR YON</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 xml:space="preserve">CECI'MODE CHAUSSURES à POUZAUGES </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LA BOUTIQUE à NOIRMOUTIER EL'ILE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t>LES P'TITS VENTRES DE TERRE à LA ROCHE SUR YON</w:t>
                      </w:r>
                    </w:p>
                    <w:p>
                      <w:pPr>
                        <w:pStyle w:val="Normal"/>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Soutien aux projets industriels territoires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14</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507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473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425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9" w:name="__DdeLink__225_36144007589"/>
            <w:bookmarkEnd w:id="9"/>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5985" cy="2426970"/>
                <wp:effectExtent l="0" t="0" r="0" b="0"/>
                <wp:wrapNone/>
                <wp:docPr id="5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2">
                <wp:simplePos x="0" y="0"/>
                <wp:positionH relativeFrom="column">
                  <wp:posOffset>-902970</wp:posOffset>
                </wp:positionH>
                <wp:positionV relativeFrom="paragraph">
                  <wp:posOffset>2577465</wp:posOffset>
                </wp:positionV>
                <wp:extent cx="7550150" cy="139065"/>
                <wp:effectExtent l="0" t="0" r="0" b="0"/>
                <wp:wrapNone/>
                <wp:docPr id="5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103">
                <wp:simplePos x="0" y="0"/>
                <wp:positionH relativeFrom="column">
                  <wp:posOffset>0</wp:posOffset>
                </wp:positionH>
                <wp:positionV relativeFrom="paragraph">
                  <wp:posOffset>28575</wp:posOffset>
                </wp:positionV>
                <wp:extent cx="5975985" cy="2653030"/>
                <wp:effectExtent l="0" t="0" r="0" b="0"/>
                <wp:wrapNone/>
                <wp:docPr id="5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sz w:val="18"/>
                                <w:szCs w:val="18"/>
                              </w:rPr>
                            </w:pPr>
                            <w:r>
                              <w:rPr>
                                <w:rFonts w:eastAsia="Calibri"/>
                                <w:b/>
                                <w:bCs/>
                                <w:color w:val="00000A"/>
                                <w:sz w:val="18"/>
                                <w:szCs w:val="18"/>
                              </w:rPr>
                              <w:t xml:space="preserve"> </w:t>
                            </w:r>
                            <w:r>
                              <w:rPr>
                                <w:rFonts w:eastAsia="Calibri"/>
                                <w:b/>
                                <w:bCs/>
                                <w:color w:val="00000A"/>
                                <w:sz w:val="18"/>
                                <w:szCs w:val="18"/>
                              </w:rPr>
                              <w:t>Le nombre de lauréats sur cette AAP est de</w:t>
                            </w:r>
                            <w:r>
                              <w:rPr>
                                <w:rFonts w:eastAsia="Calibri"/>
                                <w:b/>
                                <w:bCs/>
                                <w:color w:val="00000A"/>
                                <w:sz w:val="18"/>
                                <w:szCs w:val="18"/>
                                <w:u w:val="none"/>
                              </w:rPr>
                              <w:t xml:space="preserve"> 20 lauréats pour un budget global de subvention de 7,775 Millions d’euros</w:t>
                            </w:r>
                          </w:p>
                          <w:p>
                            <w:pPr>
                              <w:pStyle w:val="FrameContents"/>
                              <w:overflowPunct w:val="false"/>
                              <w:spacing w:lineRule="auto" w:line="240" w:before="0" w:after="0"/>
                              <w:rPr>
                                <w:rFonts w:eastAsia="Calibri"/>
                                <w:b/>
                                <w:b/>
                                <w:bCs/>
                                <w:color w:val="00000A"/>
                                <w:sz w:val="18"/>
                                <w:szCs w:val="18"/>
                                <w:u w:val="none"/>
                              </w:rPr>
                            </w:pPr>
                            <w:r>
                              <w:rPr>
                                <w:rFonts w:eastAsia="Calibri"/>
                                <w:b/>
                                <w:bCs/>
                                <w:color w:val="00000A"/>
                                <w:sz w:val="18"/>
                                <w:szCs w:val="18"/>
                                <w:u w:val="none"/>
                              </w:rPr>
                            </w:r>
                          </w:p>
                          <w:p>
                            <w:pPr>
                              <w:pStyle w:val="FrameContents"/>
                              <w:spacing w:lineRule="auto" w:line="240" w:before="0" w:after="0"/>
                              <w:jc w:val="both"/>
                              <w:rPr>
                                <w:sz w:val="18"/>
                              </w:rPr>
                            </w:pPr>
                            <w:r>
                              <w:rPr>
                                <w:rFonts w:eastAsia="Calibri"/>
                                <w:b w:val="false"/>
                                <w:bCs w:val="false"/>
                                <w:sz w:val="16"/>
                                <w:szCs w:val="16"/>
                                <w:u w:val="single"/>
                              </w:rPr>
                              <w:t xml:space="preserve">Liste des lauréats : </w:t>
                            </w:r>
                            <w:r>
                              <w:rPr>
                                <w:i/>
                                <w:iCs/>
                                <w:sz w:val="16"/>
                                <w:szCs w:val="16"/>
                              </w:rPr>
                              <w:t>AFPIA-SOLFI2A ; ATELIER MECANIQUE PRECISION HERBRETAIS ; CASH&amp;REPAIR ; CISTEBOIS ;COCKTAIL DEVELOPPEMENT ;COOP AGRIC PRODUCTEURS DE NOIRMOUTIER ; GAUTIER GROUPE ;GETEX ;HOFFMANN GREEN CEMENT TECHNOLOGIES (HGCT) ;HUGUET INGENIERIE ;LES CHARPENTIERS DE L’ATLANTIQUE ; LES ŒUFS GESLIN ; MECAPACK ; O’GUSTE ; OUEST ALU ; RABAUD ; SOC ETUDES REALISATIONS MECANIQUES DYNAMIC ; SORIBA ; STE NOUVELLE CVIM ; TFCM/STPG.</w:t>
                            </w:r>
                          </w:p>
                          <w:p>
                            <w:pPr>
                              <w:pStyle w:val="FrameContents"/>
                              <w:spacing w:lineRule="auto" w:line="240" w:before="0" w:after="0"/>
                              <w:jc w:val="both"/>
                              <w:rPr>
                                <w:b w:val="false"/>
                                <w:b w:val="false"/>
                                <w:bCs w:val="false"/>
                                <w:sz w:val="18"/>
                                <w:szCs w:val="18"/>
                                <w:u w:val="single"/>
                              </w:rPr>
                            </w:pPr>
                            <w:r>
                              <w:rPr>
                                <w:b w:val="false"/>
                                <w:bCs w:val="false"/>
                                <w:sz w:val="18"/>
                                <w:szCs w:val="18"/>
                                <w:u w:val="single"/>
                              </w:rPr>
                            </w:r>
                          </w:p>
                          <w:p>
                            <w:pPr>
                              <w:pStyle w:val="FrameContents"/>
                              <w:spacing w:lineRule="auto" w:line="240" w:before="0" w:after="0"/>
                              <w:jc w:val="both"/>
                              <w:rPr>
                                <w:sz w:val="18"/>
                              </w:rPr>
                            </w:pPr>
                            <w:r>
                              <w:rPr>
                                <w:b w:val="false"/>
                                <w:bCs w:val="false"/>
                                <w:sz w:val="18"/>
                                <w:szCs w:val="18"/>
                                <w:u w:val="single"/>
                              </w:rPr>
                              <w:t>RABAUD 85110 –</w:t>
                            </w:r>
                            <w:r>
                              <w:rPr>
                                <w:b w:val="false"/>
                                <w:bCs w:val="false"/>
                                <w:sz w:val="18"/>
                                <w:szCs w:val="18"/>
                              </w:rPr>
                              <w:t xml:space="preserve"> Le p</w:t>
                            </w:r>
                            <w:r>
                              <w:rPr>
                                <w:rFonts w:eastAsia="Calibri"/>
                                <w:b w:val="false"/>
                                <w:bCs w:val="false"/>
                                <w:i w:val="false"/>
                                <w:caps w:val="false"/>
                                <w:smallCaps w:val="false"/>
                                <w:color w:val="00000A"/>
                                <w:spacing w:val="0"/>
                                <w:sz w:val="18"/>
                                <w:szCs w:val="18"/>
                                <w:lang w:eastAsia="en-US"/>
                              </w:rPr>
                              <w:t>rojet permettra de robotiser l’atelier de pliage et de faire évoluer l’ unité de peinture pour utiliser les nouvelles technologies de peinture SANS solvant.</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spacing w:lineRule="auto" w:line="240" w:before="0" w:after="0"/>
                              <w:jc w:val="both"/>
                              <w:rPr>
                                <w:sz w:val="18"/>
                              </w:rPr>
                            </w:pPr>
                            <w:r>
                              <w:rPr>
                                <w:sz w:val="18"/>
                                <w:szCs w:val="18"/>
                                <w:u w:val="single"/>
                              </w:rPr>
                              <w:t xml:space="preserve">GETEX 85480 </w:t>
                            </w:r>
                            <w:r>
                              <w:rPr>
                                <w:sz w:val="18"/>
                                <w:szCs w:val="18"/>
                              </w:rPr>
                              <w:t>- Le</w:t>
                            </w:r>
                            <w:r>
                              <w:rPr>
                                <w:rFonts w:eastAsia="Calibri"/>
                                <w:b w:val="false"/>
                                <w:bCs w:val="false"/>
                                <w:i w:val="false"/>
                                <w:caps w:val="false"/>
                                <w:smallCaps w:val="false"/>
                                <w:color w:val="00000A"/>
                                <w:spacing w:val="0"/>
                                <w:sz w:val="18"/>
                                <w:szCs w:val="18"/>
                                <w:lang w:eastAsia="en-US"/>
                              </w:rPr>
                              <w:t xml:space="preserve"> projet permettra d’améliorer les conditions de travail au sein d’une nouvelle usine tout en développant le savoir faire de l’entreprise et en investissant dans de nouvelles machines.</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overflowPunct w:val="false"/>
                              <w:spacing w:lineRule="auto" w:line="240" w:before="0" w:after="0"/>
                              <w:rPr/>
                            </w:pPr>
                            <w:r>
                              <w:rPr>
                                <w:rFonts w:eastAsia="Calibri"/>
                                <w:b w:val="false"/>
                                <w:bCs w:val="false"/>
                                <w:color w:val="00000A"/>
                                <w:sz w:val="18"/>
                                <w:szCs w:val="18"/>
                                <w:u w:val="single"/>
                              </w:rPr>
                              <w:t>GAUTIER 85110</w:t>
                            </w:r>
                            <w:r>
                              <w:rPr>
                                <w:rFonts w:eastAsia="Calibri"/>
                                <w:b/>
                                <w:bCs/>
                                <w:color w:val="00000A"/>
                                <w:sz w:val="18"/>
                                <w:szCs w:val="18"/>
                              </w:rPr>
                              <w:t xml:space="preserve"> – L</w:t>
                            </w:r>
                            <w:r>
                              <w:rPr>
                                <w:rFonts w:eastAsia="Calibri"/>
                                <w:b w:val="false"/>
                                <w:bCs w:val="false"/>
                                <w:i w:val="false"/>
                                <w:caps w:val="false"/>
                                <w:smallCaps w:val="false"/>
                                <w:color w:val="00000A"/>
                                <w:spacing w:val="0"/>
                                <w:sz w:val="18"/>
                                <w:szCs w:val="18"/>
                                <w:lang w:eastAsia="en-US"/>
                              </w:rPr>
                              <w:t>e projet permettra à GAUTIER de s'adapter face à une demande croissante de personnalisation des produits tout en développant sa compétitivité par l’investissement dans un nouvel outil de production.</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sz w:val="18"/>
                          <w:szCs w:val="18"/>
                        </w:rPr>
                      </w:pPr>
                      <w:r>
                        <w:rPr>
                          <w:rFonts w:eastAsia="Calibri"/>
                          <w:b/>
                          <w:bCs/>
                          <w:color w:val="00000A"/>
                          <w:sz w:val="18"/>
                          <w:szCs w:val="18"/>
                        </w:rPr>
                        <w:t xml:space="preserve"> </w:t>
                      </w:r>
                      <w:r>
                        <w:rPr>
                          <w:rFonts w:eastAsia="Calibri"/>
                          <w:b/>
                          <w:bCs/>
                          <w:color w:val="00000A"/>
                          <w:sz w:val="18"/>
                          <w:szCs w:val="18"/>
                        </w:rPr>
                        <w:t>Le nombre de lauréats sur cette AAP est de</w:t>
                      </w:r>
                      <w:r>
                        <w:rPr>
                          <w:rFonts w:eastAsia="Calibri"/>
                          <w:b/>
                          <w:bCs/>
                          <w:color w:val="00000A"/>
                          <w:sz w:val="18"/>
                          <w:szCs w:val="18"/>
                          <w:u w:val="none"/>
                        </w:rPr>
                        <w:t xml:space="preserve"> 20 lauréats pour un budget global de subvention de 7,775 Millions d’euros</w:t>
                      </w:r>
                    </w:p>
                    <w:p>
                      <w:pPr>
                        <w:pStyle w:val="FrameContents"/>
                        <w:overflowPunct w:val="false"/>
                        <w:spacing w:lineRule="auto" w:line="240" w:before="0" w:after="0"/>
                        <w:rPr>
                          <w:rFonts w:eastAsia="Calibri"/>
                          <w:b/>
                          <w:b/>
                          <w:bCs/>
                          <w:color w:val="00000A"/>
                          <w:sz w:val="18"/>
                          <w:szCs w:val="18"/>
                          <w:u w:val="none"/>
                        </w:rPr>
                      </w:pPr>
                      <w:r>
                        <w:rPr>
                          <w:rFonts w:eastAsia="Calibri"/>
                          <w:b/>
                          <w:bCs/>
                          <w:color w:val="00000A"/>
                          <w:sz w:val="18"/>
                          <w:szCs w:val="18"/>
                          <w:u w:val="none"/>
                        </w:rPr>
                      </w:r>
                    </w:p>
                    <w:p>
                      <w:pPr>
                        <w:pStyle w:val="FrameContents"/>
                        <w:spacing w:lineRule="auto" w:line="240" w:before="0" w:after="0"/>
                        <w:jc w:val="both"/>
                        <w:rPr>
                          <w:sz w:val="18"/>
                        </w:rPr>
                      </w:pPr>
                      <w:r>
                        <w:rPr>
                          <w:rFonts w:eastAsia="Calibri"/>
                          <w:b w:val="false"/>
                          <w:bCs w:val="false"/>
                          <w:sz w:val="16"/>
                          <w:szCs w:val="16"/>
                          <w:u w:val="single"/>
                        </w:rPr>
                        <w:t xml:space="preserve">Liste des lauréats : </w:t>
                      </w:r>
                      <w:r>
                        <w:rPr>
                          <w:i/>
                          <w:iCs/>
                          <w:sz w:val="16"/>
                          <w:szCs w:val="16"/>
                        </w:rPr>
                        <w:t>AFPIA-SOLFI2A ; ATELIER MECANIQUE PRECISION HERBRETAIS ; CASH&amp;REPAIR ; CISTEBOIS ;COCKTAIL DEVELOPPEMENT ;COOP AGRIC PRODUCTEURS DE NOIRMOUTIER ; GAUTIER GROUPE ;GETEX ;HOFFMANN GREEN CEMENT TECHNOLOGIES (HGCT) ;HUGUET INGENIERIE ;LES CHARPENTIERS DE L’ATLANTIQUE ; LES ŒUFS GESLIN ; MECAPACK ; O’GUSTE ; OUEST ALU ; RABAUD ; SOC ETUDES REALISATIONS MECANIQUES DYNAMIC ; SORIBA ; STE NOUVELLE CVIM ; TFCM/STPG.</w:t>
                      </w:r>
                    </w:p>
                    <w:p>
                      <w:pPr>
                        <w:pStyle w:val="FrameContents"/>
                        <w:spacing w:lineRule="auto" w:line="240" w:before="0" w:after="0"/>
                        <w:jc w:val="both"/>
                        <w:rPr>
                          <w:b w:val="false"/>
                          <w:b w:val="false"/>
                          <w:bCs w:val="false"/>
                          <w:sz w:val="18"/>
                          <w:szCs w:val="18"/>
                          <w:u w:val="single"/>
                        </w:rPr>
                      </w:pPr>
                      <w:r>
                        <w:rPr>
                          <w:b w:val="false"/>
                          <w:bCs w:val="false"/>
                          <w:sz w:val="18"/>
                          <w:szCs w:val="18"/>
                          <w:u w:val="single"/>
                        </w:rPr>
                      </w:r>
                    </w:p>
                    <w:p>
                      <w:pPr>
                        <w:pStyle w:val="FrameContents"/>
                        <w:spacing w:lineRule="auto" w:line="240" w:before="0" w:after="0"/>
                        <w:jc w:val="both"/>
                        <w:rPr>
                          <w:sz w:val="18"/>
                        </w:rPr>
                      </w:pPr>
                      <w:r>
                        <w:rPr>
                          <w:b w:val="false"/>
                          <w:bCs w:val="false"/>
                          <w:sz w:val="18"/>
                          <w:szCs w:val="18"/>
                          <w:u w:val="single"/>
                        </w:rPr>
                        <w:t>RABAUD 85110 –</w:t>
                      </w:r>
                      <w:r>
                        <w:rPr>
                          <w:b w:val="false"/>
                          <w:bCs w:val="false"/>
                          <w:sz w:val="18"/>
                          <w:szCs w:val="18"/>
                        </w:rPr>
                        <w:t xml:space="preserve"> Le p</w:t>
                      </w:r>
                      <w:r>
                        <w:rPr>
                          <w:rFonts w:eastAsia="Calibri"/>
                          <w:b w:val="false"/>
                          <w:bCs w:val="false"/>
                          <w:i w:val="false"/>
                          <w:caps w:val="false"/>
                          <w:smallCaps w:val="false"/>
                          <w:color w:val="00000A"/>
                          <w:spacing w:val="0"/>
                          <w:sz w:val="18"/>
                          <w:szCs w:val="18"/>
                          <w:lang w:eastAsia="en-US"/>
                        </w:rPr>
                        <w:t>rojet permettra de robotiser l’atelier de pliage et de faire évoluer l’ unité de peinture pour utiliser les nouvelles technologies de peinture SANS solvant.</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spacing w:lineRule="auto" w:line="240" w:before="0" w:after="0"/>
                        <w:jc w:val="both"/>
                        <w:rPr>
                          <w:sz w:val="18"/>
                        </w:rPr>
                      </w:pPr>
                      <w:r>
                        <w:rPr>
                          <w:sz w:val="18"/>
                          <w:szCs w:val="18"/>
                          <w:u w:val="single"/>
                        </w:rPr>
                        <w:t xml:space="preserve">GETEX 85480 </w:t>
                      </w:r>
                      <w:r>
                        <w:rPr>
                          <w:sz w:val="18"/>
                          <w:szCs w:val="18"/>
                        </w:rPr>
                        <w:t>- Le</w:t>
                      </w:r>
                      <w:r>
                        <w:rPr>
                          <w:rFonts w:eastAsia="Calibri"/>
                          <w:b w:val="false"/>
                          <w:bCs w:val="false"/>
                          <w:i w:val="false"/>
                          <w:caps w:val="false"/>
                          <w:smallCaps w:val="false"/>
                          <w:color w:val="00000A"/>
                          <w:spacing w:val="0"/>
                          <w:sz w:val="18"/>
                          <w:szCs w:val="18"/>
                          <w:lang w:eastAsia="en-US"/>
                        </w:rPr>
                        <w:t xml:space="preserve"> projet permettra d’améliorer les conditions de travail au sein d’une nouvelle usine tout en développant le savoir faire de l’entreprise et en investissant dans de nouvelles machines.</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overflowPunct w:val="false"/>
                        <w:spacing w:lineRule="auto" w:line="240" w:before="0" w:after="0"/>
                        <w:rPr/>
                      </w:pPr>
                      <w:r>
                        <w:rPr>
                          <w:rFonts w:eastAsia="Calibri"/>
                          <w:b w:val="false"/>
                          <w:bCs w:val="false"/>
                          <w:color w:val="00000A"/>
                          <w:sz w:val="18"/>
                          <w:szCs w:val="18"/>
                          <w:u w:val="single"/>
                        </w:rPr>
                        <w:t>GAUTIER 85110</w:t>
                      </w:r>
                      <w:r>
                        <w:rPr>
                          <w:rFonts w:eastAsia="Calibri"/>
                          <w:b/>
                          <w:bCs/>
                          <w:color w:val="00000A"/>
                          <w:sz w:val="18"/>
                          <w:szCs w:val="18"/>
                        </w:rPr>
                        <w:t xml:space="preserve"> – L</w:t>
                      </w:r>
                      <w:r>
                        <w:rPr>
                          <w:rFonts w:eastAsia="Calibri"/>
                          <w:b w:val="false"/>
                          <w:bCs w:val="false"/>
                          <w:i w:val="false"/>
                          <w:caps w:val="false"/>
                          <w:smallCaps w:val="false"/>
                          <w:color w:val="00000A"/>
                          <w:spacing w:val="0"/>
                          <w:sz w:val="18"/>
                          <w:szCs w:val="18"/>
                          <w:lang w:eastAsia="en-US"/>
                        </w:rPr>
                        <w:t>e projet permettra à GAUTIER de s'adapter face à une demande croissante de personnalisation des produits tout en développant sa compétitivité par l’investissement dans un nouvel outil de production.</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Sécurisation approvisionnements critiques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3</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211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46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0" w:name="__DdeLink__225_361440075810"/>
            <w:bookmarkEnd w:id="10"/>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5985" cy="2426970"/>
                <wp:effectExtent l="0" t="0" r="0" b="0"/>
                <wp:wrapNone/>
                <wp:docPr id="5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1">
                <wp:simplePos x="0" y="0"/>
                <wp:positionH relativeFrom="column">
                  <wp:posOffset>-902970</wp:posOffset>
                </wp:positionH>
                <wp:positionV relativeFrom="paragraph">
                  <wp:posOffset>2577465</wp:posOffset>
                </wp:positionV>
                <wp:extent cx="7550150" cy="139065"/>
                <wp:effectExtent l="0" t="0" r="0" b="0"/>
                <wp:wrapNone/>
                <wp:docPr id="6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102">
                <wp:simplePos x="0" y="0"/>
                <wp:positionH relativeFrom="column">
                  <wp:posOffset>0</wp:posOffset>
                </wp:positionH>
                <wp:positionV relativeFrom="paragraph">
                  <wp:posOffset>28575</wp:posOffset>
                </wp:positionV>
                <wp:extent cx="5975985" cy="2653030"/>
                <wp:effectExtent l="0" t="0" r="0" b="0"/>
                <wp:wrapNone/>
                <wp:docPr id="6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sz w:val="18"/>
                                <w:szCs w:val="18"/>
                              </w:rPr>
                            </w:pPr>
                            <w:r>
                              <w:rPr>
                                <w:rFonts w:eastAsia="Calibri"/>
                                <w:b/>
                                <w:bCs/>
                                <w:color w:val="00000A"/>
                                <w:sz w:val="18"/>
                                <w:szCs w:val="18"/>
                              </w:rPr>
                              <w:t xml:space="preserve"> </w:t>
                            </w:r>
                            <w:r>
                              <w:rPr>
                                <w:rFonts w:eastAsia="Calibri"/>
                                <w:b/>
                                <w:bCs/>
                                <w:color w:val="00000A"/>
                                <w:sz w:val="18"/>
                                <w:szCs w:val="18"/>
                              </w:rPr>
                              <w:t xml:space="preserve">Le nombre de lauréats sur cet AAP est de </w:t>
                            </w:r>
                            <w:r>
                              <w:rPr>
                                <w:rFonts w:eastAsia="Calibri"/>
                                <w:b/>
                                <w:bCs/>
                                <w:color w:val="00000A"/>
                                <w:sz w:val="18"/>
                                <w:szCs w:val="18"/>
                                <w:u w:val="none"/>
                                <w:lang w:eastAsia="en-US"/>
                              </w:rPr>
                              <w:t>4</w:t>
                            </w:r>
                            <w:r>
                              <w:rPr>
                                <w:rFonts w:eastAsia="Calibri"/>
                                <w:b/>
                                <w:bCs/>
                                <w:color w:val="00000A"/>
                                <w:sz w:val="18"/>
                                <w:szCs w:val="18"/>
                                <w:u w:val="none"/>
                              </w:rPr>
                              <w:t xml:space="preserve"> lauréats pour un budget global de subvention de 5,2 Millions d’euros</w:t>
                            </w:r>
                          </w:p>
                          <w:p>
                            <w:pPr>
                              <w:pStyle w:val="FrameContents"/>
                              <w:overflowPunct w:val="false"/>
                              <w:spacing w:lineRule="auto" w:line="240" w:before="0" w:after="0"/>
                              <w:rPr>
                                <w:rFonts w:eastAsia="Calibri"/>
                                <w:b/>
                                <w:b/>
                                <w:bCs/>
                                <w:color w:val="00000A"/>
                                <w:sz w:val="18"/>
                                <w:szCs w:val="18"/>
                                <w:u w:val="none"/>
                              </w:rPr>
                            </w:pPr>
                            <w:r>
                              <w:rPr>
                                <w:rFonts w:eastAsia="Calibri"/>
                                <w:b/>
                                <w:bCs/>
                                <w:color w:val="00000A"/>
                                <w:sz w:val="18"/>
                                <w:szCs w:val="18"/>
                                <w:u w:val="none"/>
                              </w:rPr>
                            </w:r>
                          </w:p>
                          <w:p>
                            <w:pPr>
                              <w:pStyle w:val="FrameContents"/>
                              <w:spacing w:lineRule="auto" w:line="240" w:before="0" w:after="0"/>
                              <w:rPr>
                                <w:sz w:val="18"/>
                              </w:rPr>
                            </w:pPr>
                            <w:r>
                              <w:rPr>
                                <w:rFonts w:eastAsia="Calibri"/>
                                <w:b w:val="false"/>
                                <w:bCs w:val="false"/>
                                <w:sz w:val="18"/>
                                <w:szCs w:val="18"/>
                                <w:u w:val="single"/>
                              </w:rPr>
                              <w:t xml:space="preserve">Liste des lauréats : </w:t>
                            </w:r>
                            <w:r>
                              <w:rPr>
                                <w:rFonts w:eastAsia="Calibri"/>
                                <w:i/>
                                <w:iCs/>
                                <w:color w:val="00000A"/>
                                <w:sz w:val="18"/>
                                <w:szCs w:val="18"/>
                                <w:lang w:eastAsia="en-US"/>
                              </w:rPr>
                              <w:t>CLEAN CELLS – TRONICO – FLEURY MICHON – BIOPORC LA NATURE LA SAVEUR</w:t>
                            </w:r>
                          </w:p>
                          <w:p>
                            <w:pPr>
                              <w:pStyle w:val="FrameContents"/>
                              <w:spacing w:lineRule="auto" w:line="240" w:before="0" w:after="0"/>
                              <w:rPr>
                                <w:rFonts w:ascii="Calibri" w:hAnsi="Calibri" w:eastAsia="Calibri"/>
                                <w:i/>
                                <w:i/>
                                <w:iCs/>
                                <w:color w:val="00000A"/>
                                <w:sz w:val="18"/>
                                <w:szCs w:val="18"/>
                                <w:lang w:eastAsia="en-US"/>
                              </w:rPr>
                            </w:pPr>
                            <w:r>
                              <w:rPr>
                                <w:rFonts w:eastAsia="Calibri"/>
                                <w:i/>
                                <w:iCs/>
                                <w:color w:val="00000A"/>
                                <w:sz w:val="18"/>
                                <w:szCs w:val="18"/>
                                <w:lang w:eastAsia="en-US"/>
                              </w:rPr>
                            </w:r>
                          </w:p>
                          <w:p>
                            <w:pPr>
                              <w:pStyle w:val="FrameContents"/>
                              <w:spacing w:lineRule="auto" w:line="240" w:before="0" w:after="0"/>
                              <w:jc w:val="both"/>
                              <w:rPr/>
                            </w:pPr>
                            <w:r>
                              <w:rPr>
                                <w:rFonts w:eastAsia="Calibri"/>
                                <w:b w:val="false"/>
                                <w:bCs w:val="false"/>
                                <w:color w:val="00000A"/>
                                <w:sz w:val="18"/>
                                <w:szCs w:val="18"/>
                                <w:u w:val="single"/>
                                <w:lang w:eastAsia="en-US"/>
                              </w:rPr>
                              <w:t>TRONICO</w:t>
                            </w:r>
                            <w:r>
                              <w:rPr>
                                <w:b w:val="false"/>
                                <w:bCs w:val="false"/>
                                <w:sz w:val="18"/>
                                <w:szCs w:val="18"/>
                                <w:u w:val="single"/>
                              </w:rPr>
                              <w:t xml:space="preserve"> 85660 </w:t>
                            </w:r>
                            <w:r>
                              <w:rPr>
                                <w:b w:val="false"/>
                                <w:bCs w:val="false"/>
                                <w:sz w:val="18"/>
                                <w:szCs w:val="18"/>
                              </w:rPr>
                              <w:t xml:space="preserve">- </w:t>
                            </w:r>
                            <w:r>
                              <w:rPr>
                                <w:rFonts w:eastAsia="Calibri"/>
                                <w:b w:val="false"/>
                                <w:bCs w:val="false"/>
                                <w:i w:val="false"/>
                                <w:caps w:val="false"/>
                                <w:smallCaps w:val="false"/>
                                <w:color w:val="00000A"/>
                                <w:spacing w:val="0"/>
                                <w:sz w:val="18"/>
                                <w:szCs w:val="18"/>
                                <w:lang w:eastAsia="en-US"/>
                              </w:rPr>
                              <w:t>Le Projet RECOME (Reliability of Electronic COmponents for MEdical devices) permettra d’accélérer la mise sur le marché de dispositifs médicaux implantés permettant de proposer des calculs rapides et fiables. Les partenaires de TRONICO sont OUEST VALORISATION et le LARIS de l'Université d'Angers, bénéficiant d’accompagnement de la Région.</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spacing w:lineRule="auto" w:line="240" w:before="0" w:after="0"/>
                              <w:jc w:val="both"/>
                              <w:rPr/>
                            </w:pPr>
                            <w:r>
                              <w:rPr>
                                <w:rFonts w:eastAsia="Calibri"/>
                                <w:color w:val="00000A"/>
                                <w:sz w:val="18"/>
                                <w:szCs w:val="18"/>
                                <w:u w:val="single"/>
                                <w:lang w:eastAsia="en-US"/>
                              </w:rPr>
                              <w:t>BIOPORC</w:t>
                            </w:r>
                            <w:r>
                              <w:rPr>
                                <w:sz w:val="18"/>
                                <w:szCs w:val="18"/>
                                <w:u w:val="single"/>
                              </w:rPr>
                              <w:t xml:space="preserve"> </w:t>
                            </w:r>
                            <w:r>
                              <w:rPr>
                                <w:rFonts w:eastAsia="Calibri"/>
                                <w:color w:val="00000A"/>
                                <w:sz w:val="18"/>
                                <w:szCs w:val="18"/>
                                <w:u w:val="single"/>
                                <w:lang w:eastAsia="en-US"/>
                              </w:rPr>
                              <w:t>85120</w:t>
                            </w:r>
                            <w:r>
                              <w:rPr>
                                <w:sz w:val="18"/>
                                <w:szCs w:val="18"/>
                                <w:u w:val="single"/>
                              </w:rPr>
                              <w:t xml:space="preserve"> </w:t>
                            </w:r>
                            <w:r>
                              <w:rPr>
                                <w:sz w:val="18"/>
                                <w:szCs w:val="18"/>
                              </w:rPr>
                              <w:t>- s</w:t>
                            </w:r>
                            <w:r>
                              <w:rPr>
                                <w:rFonts w:eastAsia="Calibri"/>
                                <w:b w:val="false"/>
                                <w:bCs w:val="false"/>
                                <w:i w:val="false"/>
                                <w:caps w:val="false"/>
                                <w:smallCaps w:val="false"/>
                                <w:color w:val="00000A"/>
                                <w:spacing w:val="0"/>
                                <w:sz w:val="18"/>
                                <w:szCs w:val="18"/>
                                <w:lang w:eastAsia="en-US"/>
                              </w:rPr>
                              <w:t>pécialisée dans la transformation de viande de porc issue de l'agriculture biologique et " 100 % origine France ", le projet permettra de répondre aux exigences des consommateurs pour des produits de charcuterie bio, sans nitrites, locaux et sains. Le projet permettra de respecter des conditions d'hygiène optimales et de développer des emballages éco-conçus utilisant 75 % de plastiques en moins.</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overflowPunct w:val="false"/>
                              <w:spacing w:lineRule="auto" w:line="240" w:before="0" w:after="0"/>
                              <w:rPr/>
                            </w:pPr>
                            <w:r>
                              <w:rPr>
                                <w:rFonts w:eastAsia="Calibri"/>
                                <w:b w:val="false"/>
                                <w:bCs w:val="false"/>
                                <w:i w:val="false"/>
                                <w:caps w:val="false"/>
                                <w:smallCaps w:val="false"/>
                                <w:color w:val="00000A"/>
                                <w:spacing w:val="0"/>
                                <w:sz w:val="18"/>
                                <w:szCs w:val="18"/>
                                <w:u w:val="single"/>
                                <w:lang w:eastAsia="en-US"/>
                              </w:rPr>
                              <w:t xml:space="preserve">FLEURY MICHON </w:t>
                            </w:r>
                            <w:r>
                              <w:rPr>
                                <w:rFonts w:eastAsia="Calibri"/>
                                <w:b w:val="false"/>
                                <w:bCs w:val="false"/>
                                <w:i w:val="false"/>
                                <w:caps w:val="false"/>
                                <w:smallCaps w:val="false"/>
                                <w:color w:val="00000A"/>
                                <w:spacing w:val="0"/>
                                <w:sz w:val="18"/>
                                <w:szCs w:val="18"/>
                                <w:lang w:eastAsia="en-US"/>
                              </w:rPr>
                              <w:t xml:space="preserve">- </w:t>
                            </w:r>
                            <w:r>
                              <w:rPr>
                                <w:rFonts w:eastAsia="Calibri" w:cs="Tahoma"/>
                                <w:b w:val="false"/>
                                <w:bCs w:val="false"/>
                                <w:i w:val="false"/>
                                <w:caps w:val="false"/>
                                <w:smallCaps w:val="false"/>
                                <w:color w:val="00000A"/>
                                <w:spacing w:val="0"/>
                                <w:kern w:val="0"/>
                                <w:sz w:val="18"/>
                                <w:szCs w:val="18"/>
                                <w:lang w:val="fr-FR" w:eastAsia="en-US" w:bidi="ar-SA"/>
                              </w:rPr>
                              <w:t>L</w:t>
                            </w:r>
                            <w:r>
                              <w:rPr>
                                <w:rFonts w:eastAsia="Calibri"/>
                                <w:b w:val="false"/>
                                <w:bCs w:val="false"/>
                                <w:i w:val="false"/>
                                <w:caps w:val="false"/>
                                <w:smallCaps w:val="false"/>
                                <w:color w:val="00000A"/>
                                <w:spacing w:val="0"/>
                                <w:sz w:val="18"/>
                                <w:szCs w:val="18"/>
                                <w:lang w:eastAsia="en-US"/>
                              </w:rPr>
                              <w:t xml:space="preserve">e projet permettra d’améliorer </w:t>
                            </w:r>
                            <w:r>
                              <w:rPr>
                                <w:rFonts w:eastAsia="Calibri" w:cs="Tahoma"/>
                                <w:b w:val="false"/>
                                <w:bCs w:val="false"/>
                                <w:i w:val="false"/>
                                <w:caps w:val="false"/>
                                <w:smallCaps w:val="false"/>
                                <w:color w:val="00000A"/>
                                <w:spacing w:val="0"/>
                                <w:kern w:val="0"/>
                                <w:sz w:val="18"/>
                                <w:szCs w:val="18"/>
                                <w:lang w:val="fr-FR" w:eastAsia="en-US" w:bidi="ar-SA"/>
                              </w:rPr>
                              <w:t>la</w:t>
                            </w:r>
                            <w:r>
                              <w:rPr>
                                <w:rFonts w:eastAsia="Calibri"/>
                                <w:b w:val="false"/>
                                <w:bCs w:val="false"/>
                                <w:i w:val="false"/>
                                <w:caps w:val="false"/>
                                <w:smallCaps w:val="false"/>
                                <w:color w:val="00000A"/>
                                <w:spacing w:val="0"/>
                                <w:sz w:val="18"/>
                                <w:szCs w:val="18"/>
                                <w:lang w:eastAsia="en-US"/>
                              </w:rPr>
                              <w:t xml:space="preserve"> compétitivité, d’anticiper les changements de consommation alimentaire et de diminuer son impact environnemental grâce à l’utilisation d’emballages durables. Le projet soutien le développement en amont de la filière « porc » en agriculture biologique et prévoit de créer plus de 100 emplois.</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sz w:val="18"/>
                          <w:szCs w:val="18"/>
                        </w:rPr>
                      </w:pPr>
                      <w:r>
                        <w:rPr>
                          <w:rFonts w:eastAsia="Calibri"/>
                          <w:b/>
                          <w:bCs/>
                          <w:color w:val="00000A"/>
                          <w:sz w:val="18"/>
                          <w:szCs w:val="18"/>
                        </w:rPr>
                        <w:t xml:space="preserve"> </w:t>
                      </w:r>
                      <w:r>
                        <w:rPr>
                          <w:rFonts w:eastAsia="Calibri"/>
                          <w:b/>
                          <w:bCs/>
                          <w:color w:val="00000A"/>
                          <w:sz w:val="18"/>
                          <w:szCs w:val="18"/>
                        </w:rPr>
                        <w:t xml:space="preserve">Le nombre de lauréats sur cet AAP est de </w:t>
                      </w:r>
                      <w:r>
                        <w:rPr>
                          <w:rFonts w:eastAsia="Calibri"/>
                          <w:b/>
                          <w:bCs/>
                          <w:color w:val="00000A"/>
                          <w:sz w:val="18"/>
                          <w:szCs w:val="18"/>
                          <w:u w:val="none"/>
                          <w:lang w:eastAsia="en-US"/>
                        </w:rPr>
                        <w:t>4</w:t>
                      </w:r>
                      <w:r>
                        <w:rPr>
                          <w:rFonts w:eastAsia="Calibri"/>
                          <w:b/>
                          <w:bCs/>
                          <w:color w:val="00000A"/>
                          <w:sz w:val="18"/>
                          <w:szCs w:val="18"/>
                          <w:u w:val="none"/>
                        </w:rPr>
                        <w:t xml:space="preserve"> lauréats pour un budget global de subvention de 5,2 Millions d’euros</w:t>
                      </w:r>
                    </w:p>
                    <w:p>
                      <w:pPr>
                        <w:pStyle w:val="FrameContents"/>
                        <w:overflowPunct w:val="false"/>
                        <w:spacing w:lineRule="auto" w:line="240" w:before="0" w:after="0"/>
                        <w:rPr>
                          <w:rFonts w:eastAsia="Calibri"/>
                          <w:b/>
                          <w:b/>
                          <w:bCs/>
                          <w:color w:val="00000A"/>
                          <w:sz w:val="18"/>
                          <w:szCs w:val="18"/>
                          <w:u w:val="none"/>
                        </w:rPr>
                      </w:pPr>
                      <w:r>
                        <w:rPr>
                          <w:rFonts w:eastAsia="Calibri"/>
                          <w:b/>
                          <w:bCs/>
                          <w:color w:val="00000A"/>
                          <w:sz w:val="18"/>
                          <w:szCs w:val="18"/>
                          <w:u w:val="none"/>
                        </w:rPr>
                      </w:r>
                    </w:p>
                    <w:p>
                      <w:pPr>
                        <w:pStyle w:val="FrameContents"/>
                        <w:spacing w:lineRule="auto" w:line="240" w:before="0" w:after="0"/>
                        <w:rPr>
                          <w:sz w:val="18"/>
                        </w:rPr>
                      </w:pPr>
                      <w:r>
                        <w:rPr>
                          <w:rFonts w:eastAsia="Calibri"/>
                          <w:b w:val="false"/>
                          <w:bCs w:val="false"/>
                          <w:sz w:val="18"/>
                          <w:szCs w:val="18"/>
                          <w:u w:val="single"/>
                        </w:rPr>
                        <w:t xml:space="preserve">Liste des lauréats : </w:t>
                      </w:r>
                      <w:r>
                        <w:rPr>
                          <w:rFonts w:eastAsia="Calibri"/>
                          <w:i/>
                          <w:iCs/>
                          <w:color w:val="00000A"/>
                          <w:sz w:val="18"/>
                          <w:szCs w:val="18"/>
                          <w:lang w:eastAsia="en-US"/>
                        </w:rPr>
                        <w:t>CLEAN CELLS – TRONICO – FLEURY MICHON – BIOPORC LA NATURE LA SAVEUR</w:t>
                      </w:r>
                    </w:p>
                    <w:p>
                      <w:pPr>
                        <w:pStyle w:val="FrameContents"/>
                        <w:spacing w:lineRule="auto" w:line="240" w:before="0" w:after="0"/>
                        <w:rPr>
                          <w:rFonts w:ascii="Calibri" w:hAnsi="Calibri" w:eastAsia="Calibri"/>
                          <w:i/>
                          <w:i/>
                          <w:iCs/>
                          <w:color w:val="00000A"/>
                          <w:sz w:val="18"/>
                          <w:szCs w:val="18"/>
                          <w:lang w:eastAsia="en-US"/>
                        </w:rPr>
                      </w:pPr>
                      <w:r>
                        <w:rPr>
                          <w:rFonts w:eastAsia="Calibri"/>
                          <w:i/>
                          <w:iCs/>
                          <w:color w:val="00000A"/>
                          <w:sz w:val="18"/>
                          <w:szCs w:val="18"/>
                          <w:lang w:eastAsia="en-US"/>
                        </w:rPr>
                      </w:r>
                    </w:p>
                    <w:p>
                      <w:pPr>
                        <w:pStyle w:val="FrameContents"/>
                        <w:spacing w:lineRule="auto" w:line="240" w:before="0" w:after="0"/>
                        <w:jc w:val="both"/>
                        <w:rPr/>
                      </w:pPr>
                      <w:r>
                        <w:rPr>
                          <w:rFonts w:eastAsia="Calibri"/>
                          <w:b w:val="false"/>
                          <w:bCs w:val="false"/>
                          <w:color w:val="00000A"/>
                          <w:sz w:val="18"/>
                          <w:szCs w:val="18"/>
                          <w:u w:val="single"/>
                          <w:lang w:eastAsia="en-US"/>
                        </w:rPr>
                        <w:t>TRONICO</w:t>
                      </w:r>
                      <w:r>
                        <w:rPr>
                          <w:b w:val="false"/>
                          <w:bCs w:val="false"/>
                          <w:sz w:val="18"/>
                          <w:szCs w:val="18"/>
                          <w:u w:val="single"/>
                        </w:rPr>
                        <w:t xml:space="preserve"> 85660 </w:t>
                      </w:r>
                      <w:r>
                        <w:rPr>
                          <w:b w:val="false"/>
                          <w:bCs w:val="false"/>
                          <w:sz w:val="18"/>
                          <w:szCs w:val="18"/>
                        </w:rPr>
                        <w:t xml:space="preserve">- </w:t>
                      </w:r>
                      <w:r>
                        <w:rPr>
                          <w:rFonts w:eastAsia="Calibri"/>
                          <w:b w:val="false"/>
                          <w:bCs w:val="false"/>
                          <w:i w:val="false"/>
                          <w:caps w:val="false"/>
                          <w:smallCaps w:val="false"/>
                          <w:color w:val="00000A"/>
                          <w:spacing w:val="0"/>
                          <w:sz w:val="18"/>
                          <w:szCs w:val="18"/>
                          <w:lang w:eastAsia="en-US"/>
                        </w:rPr>
                        <w:t>Le Projet RECOME (Reliability of Electronic COmponents for MEdical devices) permettra d’accélérer la mise sur le marché de dispositifs médicaux implantés permettant de proposer des calculs rapides et fiables. Les partenaires de TRONICO sont OUEST VALORISATION et le LARIS de l'Université d'Angers, bénéficiant d’accompagnement de la Région.</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spacing w:lineRule="auto" w:line="240" w:before="0" w:after="0"/>
                        <w:jc w:val="both"/>
                        <w:rPr/>
                      </w:pPr>
                      <w:r>
                        <w:rPr>
                          <w:rFonts w:eastAsia="Calibri"/>
                          <w:color w:val="00000A"/>
                          <w:sz w:val="18"/>
                          <w:szCs w:val="18"/>
                          <w:u w:val="single"/>
                          <w:lang w:eastAsia="en-US"/>
                        </w:rPr>
                        <w:t>BIOPORC</w:t>
                      </w:r>
                      <w:r>
                        <w:rPr>
                          <w:sz w:val="18"/>
                          <w:szCs w:val="18"/>
                          <w:u w:val="single"/>
                        </w:rPr>
                        <w:t xml:space="preserve"> </w:t>
                      </w:r>
                      <w:r>
                        <w:rPr>
                          <w:rFonts w:eastAsia="Calibri"/>
                          <w:color w:val="00000A"/>
                          <w:sz w:val="18"/>
                          <w:szCs w:val="18"/>
                          <w:u w:val="single"/>
                          <w:lang w:eastAsia="en-US"/>
                        </w:rPr>
                        <w:t>85120</w:t>
                      </w:r>
                      <w:r>
                        <w:rPr>
                          <w:sz w:val="18"/>
                          <w:szCs w:val="18"/>
                          <w:u w:val="single"/>
                        </w:rPr>
                        <w:t xml:space="preserve"> </w:t>
                      </w:r>
                      <w:r>
                        <w:rPr>
                          <w:sz w:val="18"/>
                          <w:szCs w:val="18"/>
                        </w:rPr>
                        <w:t>- s</w:t>
                      </w:r>
                      <w:r>
                        <w:rPr>
                          <w:rFonts w:eastAsia="Calibri"/>
                          <w:b w:val="false"/>
                          <w:bCs w:val="false"/>
                          <w:i w:val="false"/>
                          <w:caps w:val="false"/>
                          <w:smallCaps w:val="false"/>
                          <w:color w:val="00000A"/>
                          <w:spacing w:val="0"/>
                          <w:sz w:val="18"/>
                          <w:szCs w:val="18"/>
                          <w:lang w:eastAsia="en-US"/>
                        </w:rPr>
                        <w:t>pécialisée dans la transformation de viande de porc issue de l'agriculture biologique et " 100 % origine France ", le projet permettra de répondre aux exigences des consommateurs pour des produits de charcuterie bio, sans nitrites, locaux et sains. Le projet permettra de respecter des conditions d'hygiène optimales et de développer des emballages éco-conçus utilisant 75 % de plastiques en moins.</w:t>
                      </w:r>
                    </w:p>
                    <w:p>
                      <w:pPr>
                        <w:pStyle w:val="FrameContents"/>
                        <w:spacing w:lineRule="auto" w:line="240" w:before="0" w:after="0"/>
                        <w:jc w:val="both"/>
                        <w:rPr>
                          <w:rFonts w:ascii="Calibri" w:hAnsi="Calibri" w:eastAsia="Calibri"/>
                          <w:b w:val="false"/>
                          <w:b w:val="false"/>
                          <w:bCs w:val="false"/>
                          <w:i w:val="false"/>
                          <w:i w:val="false"/>
                          <w:caps w:val="false"/>
                          <w:smallCaps w:val="false"/>
                          <w:color w:val="00000A"/>
                          <w:spacing w:val="0"/>
                          <w:sz w:val="18"/>
                          <w:szCs w:val="18"/>
                          <w:lang w:eastAsia="en-US"/>
                        </w:rPr>
                      </w:pPr>
                      <w:r>
                        <w:rPr>
                          <w:rFonts w:eastAsia="Calibri"/>
                          <w:b w:val="false"/>
                          <w:bCs w:val="false"/>
                          <w:i w:val="false"/>
                          <w:caps w:val="false"/>
                          <w:smallCaps w:val="false"/>
                          <w:color w:val="00000A"/>
                          <w:spacing w:val="0"/>
                          <w:sz w:val="18"/>
                          <w:szCs w:val="18"/>
                          <w:lang w:eastAsia="en-US"/>
                        </w:rPr>
                      </w:r>
                    </w:p>
                    <w:p>
                      <w:pPr>
                        <w:pStyle w:val="FrameContents"/>
                        <w:overflowPunct w:val="false"/>
                        <w:spacing w:lineRule="auto" w:line="240" w:before="0" w:after="0"/>
                        <w:rPr/>
                      </w:pPr>
                      <w:r>
                        <w:rPr>
                          <w:rFonts w:eastAsia="Calibri"/>
                          <w:b w:val="false"/>
                          <w:bCs w:val="false"/>
                          <w:i w:val="false"/>
                          <w:caps w:val="false"/>
                          <w:smallCaps w:val="false"/>
                          <w:color w:val="00000A"/>
                          <w:spacing w:val="0"/>
                          <w:sz w:val="18"/>
                          <w:szCs w:val="18"/>
                          <w:u w:val="single"/>
                          <w:lang w:eastAsia="en-US"/>
                        </w:rPr>
                        <w:t xml:space="preserve">FLEURY MICHON </w:t>
                      </w:r>
                      <w:r>
                        <w:rPr>
                          <w:rFonts w:eastAsia="Calibri"/>
                          <w:b w:val="false"/>
                          <w:bCs w:val="false"/>
                          <w:i w:val="false"/>
                          <w:caps w:val="false"/>
                          <w:smallCaps w:val="false"/>
                          <w:color w:val="00000A"/>
                          <w:spacing w:val="0"/>
                          <w:sz w:val="18"/>
                          <w:szCs w:val="18"/>
                          <w:lang w:eastAsia="en-US"/>
                        </w:rPr>
                        <w:t xml:space="preserve">- </w:t>
                      </w:r>
                      <w:r>
                        <w:rPr>
                          <w:rFonts w:eastAsia="Calibri" w:cs="Tahoma"/>
                          <w:b w:val="false"/>
                          <w:bCs w:val="false"/>
                          <w:i w:val="false"/>
                          <w:caps w:val="false"/>
                          <w:smallCaps w:val="false"/>
                          <w:color w:val="00000A"/>
                          <w:spacing w:val="0"/>
                          <w:kern w:val="0"/>
                          <w:sz w:val="18"/>
                          <w:szCs w:val="18"/>
                          <w:lang w:val="fr-FR" w:eastAsia="en-US" w:bidi="ar-SA"/>
                        </w:rPr>
                        <w:t>L</w:t>
                      </w:r>
                      <w:r>
                        <w:rPr>
                          <w:rFonts w:eastAsia="Calibri"/>
                          <w:b w:val="false"/>
                          <w:bCs w:val="false"/>
                          <w:i w:val="false"/>
                          <w:caps w:val="false"/>
                          <w:smallCaps w:val="false"/>
                          <w:color w:val="00000A"/>
                          <w:spacing w:val="0"/>
                          <w:sz w:val="18"/>
                          <w:szCs w:val="18"/>
                          <w:lang w:eastAsia="en-US"/>
                        </w:rPr>
                        <w:t xml:space="preserve">e projet permettra d’améliorer </w:t>
                      </w:r>
                      <w:r>
                        <w:rPr>
                          <w:rFonts w:eastAsia="Calibri" w:cs="Tahoma"/>
                          <w:b w:val="false"/>
                          <w:bCs w:val="false"/>
                          <w:i w:val="false"/>
                          <w:caps w:val="false"/>
                          <w:smallCaps w:val="false"/>
                          <w:color w:val="00000A"/>
                          <w:spacing w:val="0"/>
                          <w:kern w:val="0"/>
                          <w:sz w:val="18"/>
                          <w:szCs w:val="18"/>
                          <w:lang w:val="fr-FR" w:eastAsia="en-US" w:bidi="ar-SA"/>
                        </w:rPr>
                        <w:t>la</w:t>
                      </w:r>
                      <w:r>
                        <w:rPr>
                          <w:rFonts w:eastAsia="Calibri"/>
                          <w:b w:val="false"/>
                          <w:bCs w:val="false"/>
                          <w:i w:val="false"/>
                          <w:caps w:val="false"/>
                          <w:smallCaps w:val="false"/>
                          <w:color w:val="00000A"/>
                          <w:spacing w:val="0"/>
                          <w:sz w:val="18"/>
                          <w:szCs w:val="18"/>
                          <w:lang w:eastAsia="en-US"/>
                        </w:rPr>
                        <w:t xml:space="preserve"> compétitivité, d’anticiper les changements de consommation alimentaire et de diminuer son impact environnemental grâce à l’utilisation d’emballages durables. Le projet soutien le développement en amont de la filière « porc » en agriculture biologique et prévoit de créer plus de 100 emplois.</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Renforcement subventions Business France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bénéficiaires : 20</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600"/>
        <w:gridCol w:w="4432"/>
        <w:gridCol w:w="2385"/>
      </w:tblGrid>
      <w:tr>
        <w:trPr>
          <w:trHeight w:val="400" w:hRule="atLeast"/>
        </w:trPr>
        <w:tc>
          <w:tcPr>
            <w:tcW w:w="94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2525  </w:t>
            </w:r>
          </w:p>
        </w:tc>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2518  </w:t>
            </w:r>
          </w:p>
        </w:tc>
      </w:tr>
      <w:tr>
        <w:trPr>
          <w:trHeight w:val="54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2057  </w:t>
            </w:r>
          </w:p>
        </w:tc>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2054  </w:t>
            </w:r>
          </w:p>
        </w:tc>
      </w:tr>
      <w:tr>
        <w:trPr>
          <w:trHeight w:val="54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1647  </w:t>
            </w:r>
          </w:p>
        </w:tc>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600"/>
        <w:gridCol w:w="4442"/>
        <w:gridCol w:w="2375"/>
      </w:tblGrid>
      <w:tr>
        <w:trPr>
          <w:trHeight w:val="400" w:hRule="atLeast"/>
        </w:trPr>
        <w:tc>
          <w:tcPr>
            <w:tcW w:w="94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1" w:name="__DdeLink__225_361440075811"/>
            <w:bookmarkEnd w:id="11"/>
            <w:r>
              <w:rPr>
                <w:b/>
                <w:bCs/>
                <w:sz w:val="20"/>
                <w:szCs w:val="20"/>
              </w:rPr>
              <w:t>: Pays de la Loire</w:t>
            </w:r>
          </w:p>
        </w:tc>
      </w:tr>
      <w:tr>
        <w:trPr>
          <w:trHeight w:val="45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158  </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158  </w:t>
            </w:r>
          </w:p>
        </w:tc>
      </w:tr>
      <w:tr>
        <w:trPr>
          <w:trHeight w:val="54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131  </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131  </w:t>
            </w:r>
          </w:p>
        </w:tc>
      </w:tr>
      <w:tr>
        <w:trPr>
          <w:trHeight w:val="54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  </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600"/>
        <w:gridCol w:w="4442"/>
        <w:gridCol w:w="2375"/>
      </w:tblGrid>
      <w:tr>
        <w:trPr>
          <w:trHeight w:val="400" w:hRule="atLeast"/>
        </w:trPr>
        <w:tc>
          <w:tcPr>
            <w:tcW w:w="94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  </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  </w:t>
            </w:r>
          </w:p>
        </w:tc>
      </w:tr>
      <w:tr>
        <w:trPr>
          <w:trHeight w:val="617"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  </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  </w:t>
            </w:r>
          </w:p>
        </w:tc>
      </w:tr>
      <w:tr>
        <w:trPr>
          <w:trHeight w:val="617"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  </w:t>
            </w:r>
          </w:p>
        </w:tc>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5985" cy="2426970"/>
                <wp:effectExtent l="0" t="0" r="0" b="0"/>
                <wp:wrapNone/>
                <wp:docPr id="6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0">
                <wp:simplePos x="0" y="0"/>
                <wp:positionH relativeFrom="column">
                  <wp:posOffset>-902970</wp:posOffset>
                </wp:positionH>
                <wp:positionV relativeFrom="paragraph">
                  <wp:posOffset>2577465</wp:posOffset>
                </wp:positionV>
                <wp:extent cx="7550150" cy="139065"/>
                <wp:effectExtent l="0" t="0" r="0" b="0"/>
                <wp:wrapNone/>
                <wp:docPr id="6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101">
                <wp:simplePos x="0" y="0"/>
                <wp:positionH relativeFrom="column">
                  <wp:posOffset>0</wp:posOffset>
                </wp:positionH>
                <wp:positionV relativeFrom="paragraph">
                  <wp:posOffset>28575</wp:posOffset>
                </wp:positionV>
                <wp:extent cx="5975985" cy="2653030"/>
                <wp:effectExtent l="0" t="0" r="0" b="0"/>
                <wp:wrapNone/>
                <wp:docPr id="6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rpsdetexte"/>
                              <w:overflowPunct w:val="false"/>
                              <w:spacing w:lineRule="auto" w:line="240" w:before="0" w:after="0"/>
                              <w:rPr>
                                <w:b/>
                                <w:b/>
                                <w:color w:val="000000"/>
                              </w:rPr>
                            </w:pPr>
                            <w:r>
                              <w:rPr>
                                <w:b/>
                                <w:color w:val="000000"/>
                              </w:rPr>
                              <w:t>Sté AMIAUD à St Martin des Noyers</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b/>
                                <w:b/>
                                <w:color w:val="000000"/>
                              </w:rPr>
                            </w:pPr>
                            <w:r>
                              <w:rPr>
                                <w:b/>
                                <w:color w:val="000000"/>
                              </w:rPr>
                              <w:t>Sté PIXLUM à  Soullans</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b/>
                                <w:b/>
                                <w:color w:val="000000"/>
                              </w:rPr>
                            </w:pPr>
                            <w:r>
                              <w:rPr>
                                <w:b/>
                                <w:color w:val="000000"/>
                              </w:rPr>
                              <w:t>Sté CONCEPT ALU aux Herbiers</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b/>
                                <w:b/>
                                <w:color w:val="000000"/>
                              </w:rPr>
                            </w:pPr>
                            <w:r>
                              <w:rPr>
                                <w:b/>
                                <w:color w:val="000000"/>
                              </w:rPr>
                              <w:t>Sté DIFAGRI à Montaigu</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pPr>
                            <w:r>
                              <w:rPr>
                                <w:b/>
                                <w:color w:val="000000"/>
                              </w:rPr>
                              <w:t>Sté HARDOUIN à Beauvoir s/mer</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pPr>
                            <w:r>
                              <w:rPr>
                                <w:b/>
                                <w:color w:val="000000"/>
                              </w:rPr>
                              <w:t>Chantiers navals Franck ROY à La Boissière des landes</w:t>
                            </w:r>
                            <w:r>
                              <w:rPr/>
                              <w:t xml:space="preserve"> </w:t>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t xml:space="preserve"> </w:t>
                      </w:r>
                      <w:r>
                        <w:rPr>
                          <w:rFonts w:eastAsia="Calibri"/>
                          <w:b/>
                          <w:bCs/>
                          <w:color w:val="00000A"/>
                          <w:sz w:val="20"/>
                          <w:szCs w:val="20"/>
                        </w:rPr>
                        <w:t>Exemples de lauréats :</w:t>
                      </w:r>
                    </w:p>
                    <w:p>
                      <w:pPr>
                        <w:pStyle w:val="Corpsdetexte"/>
                        <w:overflowPunct w:val="false"/>
                        <w:spacing w:lineRule="auto" w:line="240" w:before="0" w:after="0"/>
                        <w:rPr>
                          <w:b/>
                          <w:b/>
                          <w:color w:val="000000"/>
                        </w:rPr>
                      </w:pPr>
                      <w:r>
                        <w:rPr>
                          <w:b/>
                          <w:color w:val="000000"/>
                        </w:rPr>
                        <w:t>Sté AMIAUD à St Martin des Noyers</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b/>
                          <w:b/>
                          <w:color w:val="000000"/>
                        </w:rPr>
                      </w:pPr>
                      <w:r>
                        <w:rPr>
                          <w:b/>
                          <w:color w:val="000000"/>
                        </w:rPr>
                        <w:t>Sté PIXLUM à  Soullans</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b/>
                          <w:b/>
                          <w:color w:val="000000"/>
                        </w:rPr>
                      </w:pPr>
                      <w:r>
                        <w:rPr>
                          <w:b/>
                          <w:color w:val="000000"/>
                        </w:rPr>
                        <w:t>Sté CONCEPT ALU aux Herbiers</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b/>
                          <w:b/>
                          <w:color w:val="000000"/>
                        </w:rPr>
                      </w:pPr>
                      <w:r>
                        <w:rPr>
                          <w:b/>
                          <w:color w:val="000000"/>
                        </w:rPr>
                        <w:t>Sté DIFAGRI à Montaigu</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pPr>
                      <w:r>
                        <w:rPr>
                          <w:b/>
                          <w:color w:val="000000"/>
                        </w:rPr>
                        <w:t>Sté HARDOUIN à Beauvoir s/mer</w:t>
                      </w:r>
                    </w:p>
                    <w:p>
                      <w:pPr>
                        <w:pStyle w:val="Corpsdetexte"/>
                        <w:overflowPunct w:val="false"/>
                        <w:spacing w:lineRule="auto" w:line="240" w:before="0" w:after="0"/>
                        <w:rPr>
                          <w:b/>
                          <w:b/>
                          <w:color w:val="000000"/>
                        </w:rPr>
                      </w:pPr>
                      <w:r>
                        <w:rPr>
                          <w:b/>
                          <w:color w:val="000000"/>
                        </w:rPr>
                      </w:r>
                    </w:p>
                    <w:p>
                      <w:pPr>
                        <w:pStyle w:val="Corpsdetexte"/>
                        <w:overflowPunct w:val="false"/>
                        <w:spacing w:lineRule="auto" w:line="240" w:before="0" w:after="0"/>
                        <w:rPr/>
                      </w:pPr>
                      <w:r>
                        <w:rPr>
                          <w:b/>
                          <w:color w:val="000000"/>
                        </w:rPr>
                        <w:t>Chantiers navals Franck ROY à La Boissière des landes</w:t>
                      </w:r>
                      <w:r>
                        <w:rPr/>
                        <w:t xml:space="preserve"> </w:t>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100">
                <wp:simplePos x="0" y="0"/>
                <wp:positionH relativeFrom="column">
                  <wp:posOffset>-191770</wp:posOffset>
                </wp:positionH>
                <wp:positionV relativeFrom="paragraph">
                  <wp:posOffset>1367790</wp:posOffset>
                </wp:positionV>
                <wp:extent cx="6081395" cy="4440555"/>
                <wp:effectExtent l="0" t="0" r="0" b="0"/>
                <wp:wrapNone/>
                <wp:docPr id="69" name="Forme1"/>
                <a:graphic xmlns:a="http://schemas.openxmlformats.org/drawingml/2006/main">
                  <a:graphicData uri="http://schemas.microsoft.com/office/word/2010/wordprocessingShape">
                    <wps:wsp>
                      <wps:cNvSpPr/>
                      <wps:spPr>
                        <a:xfrm>
                          <a:off x="0" y="0"/>
                          <a:ext cx="6080760" cy="443988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rPr>
                            </w:pPr>
                            <w:r>
                              <w:rPr>
                                <w:rFonts w:eastAsia="Calibri"/>
                                <w:b/>
                                <w:bCs/>
                                <w:color w:val="00000A"/>
                              </w:rPr>
                              <w:t xml:space="preserve">Commentaires généraux sur le Plan de Relance– </w:t>
                            </w:r>
                            <w:r>
                              <w:rPr>
                                <w:rFonts w:eastAsia="Calibri"/>
                                <w:b/>
                                <w:bCs/>
                                <w:color w:val="00000A"/>
                                <w:sz w:val="18"/>
                                <w:szCs w:val="18"/>
                              </w:rPr>
                              <w:t>données à fin avril sur la période globale du Plan de Relance</w:t>
                            </w:r>
                          </w:p>
                          <w:p>
                            <w:pPr>
                              <w:pStyle w:val="FrameContents"/>
                              <w:overflowPunct w:val="false"/>
                              <w:spacing w:lineRule="auto" w:line="240" w:before="0" w:after="0"/>
                              <w:jc w:val="both"/>
                              <w:rPr/>
                            </w:pPr>
                            <w:r>
                              <w:rPr/>
                              <w:t>Le Plan de relance représente pour la région Pays de la Loire une enveloppe de 2 813 Millions d’euros consommée pour 68,3 % sur le volet cohésion, 22,5 % sur le volet compétitivité et 9,2 % sur le volet écologie.</w:t>
                            </w:r>
                          </w:p>
                          <w:p>
                            <w:pPr>
                              <w:pStyle w:val="FrameContents"/>
                              <w:overflowPunct w:val="false"/>
                              <w:spacing w:lineRule="auto" w:line="240" w:before="0" w:after="0"/>
                              <w:jc w:val="both"/>
                              <w:rPr/>
                            </w:pPr>
                            <w:r>
                              <w:rPr/>
                              <w:t>Le département de la Vendée a bénéficié d’un peu plus de 16% de cette enveloppe globale du plan de relance pour la région Pays de la Loire ce qui correspond à une enveloppe de 456 Millions d’euros.</w:t>
                            </w:r>
                          </w:p>
                          <w:p>
                            <w:pPr>
                              <w:pStyle w:val="FrameContents"/>
                              <w:overflowPunct w:val="false"/>
                              <w:spacing w:lineRule="auto" w:line="240" w:before="0" w:after="0"/>
                              <w:jc w:val="both"/>
                              <w:rPr/>
                            </w:pPr>
                            <w:r>
                              <w:rPr/>
                              <w:t>La consommation de ce plan de relance pour le département de la Vendée a bénéficié pour 70,5 % au volet cohésion, pour 24 % au volet compétitivité et pour 5,5 % pour le volet écologie.</w:t>
                            </w:r>
                          </w:p>
                          <w:p>
                            <w:pPr>
                              <w:pStyle w:val="FrameContents"/>
                              <w:overflowPunct w:val="false"/>
                              <w:spacing w:lineRule="auto" w:line="240" w:before="0" w:after="0"/>
                              <w:jc w:val="both"/>
                              <w:rPr>
                                <w:b/>
                                <w:b/>
                              </w:rPr>
                            </w:pPr>
                            <w:r>
                              <w:rPr>
                                <w:b/>
                              </w:rPr>
                            </w:r>
                          </w:p>
                          <w:p>
                            <w:pPr>
                              <w:pStyle w:val="FrameContents"/>
                              <w:spacing w:lineRule="auto" w:line="240" w:before="0" w:after="0"/>
                              <w:jc w:val="both"/>
                              <w:rPr/>
                            </w:pPr>
                            <w:r>
                              <w:rPr>
                                <w:b/>
                              </w:rPr>
                              <w:t>Commentaires spécifiques au volet cohésion</w:t>
                            </w:r>
                          </w:p>
                          <w:p>
                            <w:pPr>
                              <w:pStyle w:val="FrameContents"/>
                              <w:spacing w:lineRule="auto" w:line="240" w:before="0" w:after="0"/>
                              <w:jc w:val="both"/>
                              <w:rPr/>
                            </w:pPr>
                            <w:r>
                              <w:rPr/>
                              <w:t>Avec 70,5 % du plan de relance vendéen affecté sur ce volet cohésion, soit 321 Millions d’euros, le département de la Vendée se positionne dans la moyenne haute d’investissement pour la région Pays de la Loire qui collectivement a investi près de 68,3% du plan de relance sur ce volet cohésion.</w:t>
                            </w:r>
                          </w:p>
                          <w:p>
                            <w:pPr>
                              <w:pStyle w:val="FrameContents"/>
                              <w:spacing w:lineRule="auto" w:line="240" w:before="0" w:after="0"/>
                              <w:jc w:val="both"/>
                              <w:rPr/>
                            </w:pPr>
                            <w:r>
                              <w:rPr/>
                            </w:r>
                          </w:p>
                          <w:p>
                            <w:pPr>
                              <w:pStyle w:val="FrameContents"/>
                              <w:spacing w:lineRule="auto" w:line="240" w:before="0" w:after="0"/>
                              <w:jc w:val="both"/>
                              <w:rPr/>
                            </w:pPr>
                            <w:r>
                              <w:rPr/>
                              <w:t xml:space="preserve">L’accompagnement relatif à l’activité partielle représente en Vendée près de 252 Millions d’euros. </w:t>
                            </w:r>
                          </w:p>
                          <w:p>
                            <w:pPr>
                              <w:pStyle w:val="FrameContents"/>
                              <w:spacing w:lineRule="auto" w:line="240" w:before="0" w:after="0"/>
                              <w:jc w:val="both"/>
                              <w:rPr/>
                            </w:pPr>
                            <w:r>
                              <w:rPr/>
                            </w:r>
                          </w:p>
                          <w:p>
                            <w:pPr>
                              <w:pStyle w:val="FrameContents"/>
                              <w:overflowPunct w:val="false"/>
                              <w:spacing w:lineRule="auto" w:line="240" w:before="0" w:after="0"/>
                              <w:jc w:val="both"/>
                              <w:rPr>
                                <w:color w:val="000000"/>
                                <w:lang w:val="x-none"/>
                              </w:rPr>
                            </w:pPr>
                            <w:r>
                              <w:rPr>
                                <w:color w:val="000000"/>
                                <w:lang w:val="x-none"/>
                              </w:rPr>
                              <w:t>Le volet cohésion du plan de relance dans le département de la Vendée, neutralisé de l’impact de l’activité partielle, a permis d’accompagner près de 44 000 actions pour un montant global de 69 Millions d’euros.</w:t>
                            </w:r>
                          </w:p>
                          <w:p>
                            <w:pPr>
                              <w:pStyle w:val="FrameContents"/>
                              <w:overflowPunct w:val="false"/>
                              <w:spacing w:lineRule="auto" w:line="240" w:before="0" w:after="0"/>
                              <w:jc w:val="both"/>
                              <w:rPr>
                                <w:color w:val="000000"/>
                                <w:lang w:val="x-none"/>
                              </w:rPr>
                            </w:pPr>
                            <w:r>
                              <w:rPr>
                                <w:color w:val="000000"/>
                                <w:lang w:val="x-none"/>
                              </w:rPr>
                            </w:r>
                          </w:p>
                          <w:p>
                            <w:pPr>
                              <w:pStyle w:val="FrameContents"/>
                              <w:spacing w:lineRule="auto" w:line="240" w:before="0" w:after="0"/>
                              <w:jc w:val="both"/>
                              <w:rPr/>
                            </w:pPr>
                            <w:r>
                              <w:rPr/>
                              <w:t>Le ticket moyen de subvention pour le département de la Vendée est le moins élevé sur la région des Pays de la Loire avec un montant moyen légèrement supérieur à 1 500 euros pour un ticket moyen pour la région s’établissant à 1 687 euros.</w:t>
                            </w:r>
                          </w:p>
                          <w:p>
                            <w:pPr>
                              <w:pStyle w:val="FrameContents"/>
                              <w:spacing w:lineRule="auto" w:line="240" w:before="0" w:after="0"/>
                              <w:jc w:val="both"/>
                              <w:rPr/>
                            </w:pPr>
                            <w:r>
                              <w:rPr/>
                            </w:r>
                          </w:p>
                          <w:p>
                            <w:pPr>
                              <w:pStyle w:val="FrameContents"/>
                              <w:overflowPunct w:val="false"/>
                              <w:spacing w:lineRule="auto" w:line="240" w:before="0" w:after="0"/>
                              <w:jc w:val="both"/>
                              <w:rPr/>
                            </w:pPr>
                            <w:r>
                              <w:rPr/>
                              <w:t>Le département de la Vendée avec près de 44 000 actions représente près de 17% des opérations régionales en lien avec le volet cohésion.</w:t>
                            </w:r>
                          </w:p>
                          <w:p>
                            <w:pPr>
                              <w:pStyle w:val="FrameContents"/>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349.55pt">
                <w10:wrap type="square"/>
                <v:fill o:detectmouseclick="t" on="false"/>
                <v:stroke color="black" joinstyle="round" endcap="flat"/>
                <v:textbox>
                  <w:txbxContent>
                    <w:p>
                      <w:pPr>
                        <w:pStyle w:val="FrameContents"/>
                        <w:overflowPunct w:val="false"/>
                        <w:spacing w:lineRule="auto" w:line="240" w:before="0" w:after="0"/>
                        <w:rPr>
                          <w:rFonts w:eastAsia="Calibri"/>
                          <w:b/>
                          <w:b/>
                          <w:bCs/>
                          <w:color w:val="00000A"/>
                        </w:rPr>
                      </w:pPr>
                      <w:r>
                        <w:rPr>
                          <w:rFonts w:eastAsia="Calibri"/>
                          <w:b/>
                          <w:bCs/>
                          <w:color w:val="00000A"/>
                        </w:rPr>
                        <w:t xml:space="preserve">Commentaires généraux sur le Plan de Relance– </w:t>
                      </w:r>
                      <w:r>
                        <w:rPr>
                          <w:rFonts w:eastAsia="Calibri"/>
                          <w:b/>
                          <w:bCs/>
                          <w:color w:val="00000A"/>
                          <w:sz w:val="18"/>
                          <w:szCs w:val="18"/>
                        </w:rPr>
                        <w:t>données à fin avril sur la période globale du Plan de Relance</w:t>
                      </w:r>
                    </w:p>
                    <w:p>
                      <w:pPr>
                        <w:pStyle w:val="FrameContents"/>
                        <w:overflowPunct w:val="false"/>
                        <w:spacing w:lineRule="auto" w:line="240" w:before="0" w:after="0"/>
                        <w:jc w:val="both"/>
                        <w:rPr/>
                      </w:pPr>
                      <w:r>
                        <w:rPr/>
                        <w:t>Le Plan de relance représente pour la région Pays de la Loire une enveloppe de 2 813 Millions d’euros consommée pour 68,3 % sur le volet cohésion, 22,5 % sur le volet compétitivité et 9,2 % sur le volet écologie.</w:t>
                      </w:r>
                    </w:p>
                    <w:p>
                      <w:pPr>
                        <w:pStyle w:val="FrameContents"/>
                        <w:overflowPunct w:val="false"/>
                        <w:spacing w:lineRule="auto" w:line="240" w:before="0" w:after="0"/>
                        <w:jc w:val="both"/>
                        <w:rPr/>
                      </w:pPr>
                      <w:r>
                        <w:rPr/>
                        <w:t>Le département de la Vendée a bénéficié d’un peu plus de 16% de cette enveloppe globale du plan de relance pour la région Pays de la Loire ce qui correspond à une enveloppe de 456 Millions d’euros.</w:t>
                      </w:r>
                    </w:p>
                    <w:p>
                      <w:pPr>
                        <w:pStyle w:val="FrameContents"/>
                        <w:overflowPunct w:val="false"/>
                        <w:spacing w:lineRule="auto" w:line="240" w:before="0" w:after="0"/>
                        <w:jc w:val="both"/>
                        <w:rPr/>
                      </w:pPr>
                      <w:r>
                        <w:rPr/>
                        <w:t>La consommation de ce plan de relance pour le département de la Vendée a bénéficié pour 70,5 % au volet cohésion, pour 24 % au volet compétitivité et pour 5,5 % pour le volet écologie.</w:t>
                      </w:r>
                    </w:p>
                    <w:p>
                      <w:pPr>
                        <w:pStyle w:val="FrameContents"/>
                        <w:overflowPunct w:val="false"/>
                        <w:spacing w:lineRule="auto" w:line="240" w:before="0" w:after="0"/>
                        <w:jc w:val="both"/>
                        <w:rPr>
                          <w:b/>
                          <w:b/>
                        </w:rPr>
                      </w:pPr>
                      <w:r>
                        <w:rPr>
                          <w:b/>
                        </w:rPr>
                      </w:r>
                    </w:p>
                    <w:p>
                      <w:pPr>
                        <w:pStyle w:val="FrameContents"/>
                        <w:spacing w:lineRule="auto" w:line="240" w:before="0" w:after="0"/>
                        <w:jc w:val="both"/>
                        <w:rPr/>
                      </w:pPr>
                      <w:r>
                        <w:rPr>
                          <w:b/>
                        </w:rPr>
                        <w:t>Commentaires spécifiques au volet cohésion</w:t>
                      </w:r>
                    </w:p>
                    <w:p>
                      <w:pPr>
                        <w:pStyle w:val="FrameContents"/>
                        <w:spacing w:lineRule="auto" w:line="240" w:before="0" w:after="0"/>
                        <w:jc w:val="both"/>
                        <w:rPr/>
                      </w:pPr>
                      <w:r>
                        <w:rPr/>
                        <w:t>Avec 70,5 % du plan de relance vendéen affecté sur ce volet cohésion, soit 321 Millions d’euros, le département de la Vendée se positionne dans la moyenne haute d’investissement pour la région Pays de la Loire qui collectivement a investi près de 68,3% du plan de relance sur ce volet cohésion.</w:t>
                      </w:r>
                    </w:p>
                    <w:p>
                      <w:pPr>
                        <w:pStyle w:val="FrameContents"/>
                        <w:spacing w:lineRule="auto" w:line="240" w:before="0" w:after="0"/>
                        <w:jc w:val="both"/>
                        <w:rPr/>
                      </w:pPr>
                      <w:r>
                        <w:rPr/>
                      </w:r>
                    </w:p>
                    <w:p>
                      <w:pPr>
                        <w:pStyle w:val="FrameContents"/>
                        <w:spacing w:lineRule="auto" w:line="240" w:before="0" w:after="0"/>
                        <w:jc w:val="both"/>
                        <w:rPr/>
                      </w:pPr>
                      <w:r>
                        <w:rPr/>
                        <w:t xml:space="preserve">L’accompagnement relatif à l’activité partielle représente en Vendée près de 252 Millions d’euros. </w:t>
                      </w:r>
                    </w:p>
                    <w:p>
                      <w:pPr>
                        <w:pStyle w:val="FrameContents"/>
                        <w:spacing w:lineRule="auto" w:line="240" w:before="0" w:after="0"/>
                        <w:jc w:val="both"/>
                        <w:rPr/>
                      </w:pPr>
                      <w:r>
                        <w:rPr/>
                      </w:r>
                    </w:p>
                    <w:p>
                      <w:pPr>
                        <w:pStyle w:val="FrameContents"/>
                        <w:overflowPunct w:val="false"/>
                        <w:spacing w:lineRule="auto" w:line="240" w:before="0" w:after="0"/>
                        <w:jc w:val="both"/>
                        <w:rPr>
                          <w:color w:val="000000"/>
                          <w:lang w:val="x-none"/>
                        </w:rPr>
                      </w:pPr>
                      <w:r>
                        <w:rPr>
                          <w:color w:val="000000"/>
                          <w:lang w:val="x-none"/>
                        </w:rPr>
                        <w:t>Le volet cohésion du plan de relance dans le département de la Vendée, neutralisé de l’impact de l’activité partielle, a permis d’accompagner près de 44 000 actions pour un montant global de 69 Millions d’euros.</w:t>
                      </w:r>
                    </w:p>
                    <w:p>
                      <w:pPr>
                        <w:pStyle w:val="FrameContents"/>
                        <w:overflowPunct w:val="false"/>
                        <w:spacing w:lineRule="auto" w:line="240" w:before="0" w:after="0"/>
                        <w:jc w:val="both"/>
                        <w:rPr>
                          <w:color w:val="000000"/>
                          <w:lang w:val="x-none"/>
                        </w:rPr>
                      </w:pPr>
                      <w:r>
                        <w:rPr>
                          <w:color w:val="000000"/>
                          <w:lang w:val="x-none"/>
                        </w:rPr>
                      </w:r>
                    </w:p>
                    <w:p>
                      <w:pPr>
                        <w:pStyle w:val="FrameContents"/>
                        <w:spacing w:lineRule="auto" w:line="240" w:before="0" w:after="0"/>
                        <w:jc w:val="both"/>
                        <w:rPr/>
                      </w:pPr>
                      <w:r>
                        <w:rPr/>
                        <w:t>Le ticket moyen de subvention pour le département de la Vendée est le moins élevé sur la région des Pays de la Loire avec un montant moyen légèrement supérieur à 1 500 euros pour un ticket moyen pour la région s’établissant à 1 687 euros.</w:t>
                      </w:r>
                    </w:p>
                    <w:p>
                      <w:pPr>
                        <w:pStyle w:val="FrameContents"/>
                        <w:spacing w:lineRule="auto" w:line="240" w:before="0" w:after="0"/>
                        <w:jc w:val="both"/>
                        <w:rPr/>
                      </w:pPr>
                      <w:r>
                        <w:rPr/>
                      </w:r>
                    </w:p>
                    <w:p>
                      <w:pPr>
                        <w:pStyle w:val="FrameContents"/>
                        <w:overflowPunct w:val="false"/>
                        <w:spacing w:lineRule="auto" w:line="240" w:before="0" w:after="0"/>
                        <w:jc w:val="both"/>
                        <w:rPr/>
                      </w:pPr>
                      <w:r>
                        <w:rPr/>
                        <w:t>Le département de la Vendée avec près de 44 000 actions représente près de 17% des opérations régionales en lien avec le volet cohésion.</w:t>
                      </w:r>
                    </w:p>
                    <w:p>
                      <w:pPr>
                        <w:pStyle w:val="FrameContents"/>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8560" cy="139065"/>
                <wp:effectExtent l="0" t="0" r="0" b="0"/>
                <wp:wrapNone/>
                <wp:docPr id="71"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Calibr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Apprentissage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d’apprentissage : 5226</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396156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345720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2" w:name="__DdeLink__225_361440075812"/>
            <w:bookmarkEnd w:id="12"/>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27283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25536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20422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5226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4983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4060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5985" cy="2426970"/>
                <wp:effectExtent l="0" t="0" r="0" b="0"/>
                <wp:wrapNone/>
                <wp:docPr id="7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9">
                <wp:simplePos x="0" y="0"/>
                <wp:positionH relativeFrom="column">
                  <wp:posOffset>-902970</wp:posOffset>
                </wp:positionH>
                <wp:positionV relativeFrom="paragraph">
                  <wp:posOffset>2577465</wp:posOffset>
                </wp:positionV>
                <wp:extent cx="7550150" cy="139065"/>
                <wp:effectExtent l="0" t="0" r="0" b="0"/>
                <wp:wrapNone/>
                <wp:docPr id="7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99">
                <wp:simplePos x="0" y="0"/>
                <wp:positionH relativeFrom="column">
                  <wp:posOffset>0</wp:posOffset>
                </wp:positionH>
                <wp:positionV relativeFrom="paragraph">
                  <wp:posOffset>28575</wp:posOffset>
                </wp:positionV>
                <wp:extent cx="5975985" cy="2653030"/>
                <wp:effectExtent l="0" t="0" r="0" b="0"/>
                <wp:wrapNone/>
                <wp:docPr id="7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Normal"/>
                              <w:overflowPunct w:val="false"/>
                              <w:spacing w:lineRule="auto" w:line="240" w:before="0" w:after="0"/>
                              <w:jc w:val="both"/>
                              <w:rPr/>
                            </w:pPr>
                            <w:r>
                              <w:rPr/>
                              <w:t xml:space="preserve">Concernant les mesures gouvernementales orientées vers le secteur marchand, </w:t>
                            </w:r>
                            <w:r>
                              <w:rPr>
                                <w:lang w:val="x-none"/>
                              </w:rPr>
                              <w:t>même si les objectifs sont importants, ils sont atteignables. Le potentiel d’employeurs et d’emplois concernés en Vendée est large, le partenariat avec le secteur économique fonctionne.</w:t>
                            </w:r>
                          </w:p>
                          <w:p>
                            <w:pPr>
                              <w:pStyle w:val="Normal"/>
                              <w:overflowPunct w:val="false"/>
                              <w:spacing w:lineRule="auto" w:line="240" w:before="0" w:after="0"/>
                              <w:jc w:val="both"/>
                              <w:rPr>
                                <w:lang w:val="x-none"/>
                              </w:rPr>
                            </w:pPr>
                            <w:r>
                              <w:rPr>
                                <w:lang w:val="x-none"/>
                              </w:rPr>
                            </w:r>
                          </w:p>
                          <w:p>
                            <w:pPr>
                              <w:pStyle w:val="FrameContents"/>
                              <w:overflowPunct w:val="false"/>
                              <w:spacing w:lineRule="auto" w:line="240" w:before="0" w:after="0"/>
                              <w:jc w:val="both"/>
                              <w:rPr>
                                <w:rFonts w:ascii="Calibri" w:hAnsi="Calibri" w:eastAsia="Calibri"/>
                                <w:b/>
                                <w:b/>
                                <w:bCs/>
                                <w:color w:val="00000A"/>
                              </w:rPr>
                            </w:pPr>
                            <w:r>
                              <w:rPr>
                                <w:rFonts w:eastAsia="Calibri"/>
                                <w:b/>
                                <w:bCs/>
                                <w:color w:val="00000A"/>
                                <w:sz w:val="20"/>
                                <w:szCs w:val="20"/>
                              </w:rPr>
                              <w:t>En date de fin avril le département de la Vendée avec 5 361 embauche d’apprentis portait près de 19% de l’ensemble des aides à l’embauche des apprentis sur la région Pays de la Loire (28 538 contrats d’apprentissage).</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Ce constat semble être confirmé par les éléments chiffrés nationaux, indiqués ci dessus, même si nous devons constater un léger décalage sur les données.</w:t>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Normal"/>
                        <w:overflowPunct w:val="false"/>
                        <w:spacing w:lineRule="auto" w:line="240" w:before="0" w:after="0"/>
                        <w:jc w:val="both"/>
                        <w:rPr/>
                      </w:pPr>
                      <w:r>
                        <w:rPr/>
                        <w:t xml:space="preserve">Concernant les mesures gouvernementales orientées vers le secteur marchand, </w:t>
                      </w:r>
                      <w:r>
                        <w:rPr>
                          <w:lang w:val="x-none"/>
                        </w:rPr>
                        <w:t>même si les objectifs sont importants, ils sont atteignables. Le potentiel d’employeurs et d’emplois concernés en Vendée est large, le partenariat avec le secteur économique fonctionne.</w:t>
                      </w:r>
                    </w:p>
                    <w:p>
                      <w:pPr>
                        <w:pStyle w:val="Normal"/>
                        <w:overflowPunct w:val="false"/>
                        <w:spacing w:lineRule="auto" w:line="240" w:before="0" w:after="0"/>
                        <w:jc w:val="both"/>
                        <w:rPr>
                          <w:lang w:val="x-none"/>
                        </w:rPr>
                      </w:pPr>
                      <w:r>
                        <w:rPr>
                          <w:lang w:val="x-none"/>
                        </w:rPr>
                      </w:r>
                    </w:p>
                    <w:p>
                      <w:pPr>
                        <w:pStyle w:val="FrameContents"/>
                        <w:overflowPunct w:val="false"/>
                        <w:spacing w:lineRule="auto" w:line="240" w:before="0" w:after="0"/>
                        <w:jc w:val="both"/>
                        <w:rPr>
                          <w:rFonts w:ascii="Calibri" w:hAnsi="Calibri" w:eastAsia="Calibri"/>
                          <w:b/>
                          <w:b/>
                          <w:bCs/>
                          <w:color w:val="00000A"/>
                        </w:rPr>
                      </w:pPr>
                      <w:r>
                        <w:rPr>
                          <w:rFonts w:eastAsia="Calibri"/>
                          <w:b/>
                          <w:bCs/>
                          <w:color w:val="00000A"/>
                          <w:sz w:val="20"/>
                          <w:szCs w:val="20"/>
                        </w:rPr>
                        <w:t>En date de fin avril le département de la Vendée avec 5 361 embauche d’apprentis portait près de 19% de l’ensemble des aides à l’embauche des apprentis sur la région Pays de la Loire (28 538 contrats d’apprentissage).</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Ce constat semble être confirmé par les éléments chiffrés nationaux, indiqués ci dessus, même si nous devons constater un léger décalage sur les données.</w:t>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des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jeunes : 3441</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275636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209998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3" w:name="__DdeLink__225_361440075813"/>
            <w:bookmarkEnd w:id="13"/>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20887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16476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7838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3441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2533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1218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5985" cy="2426970"/>
                <wp:effectExtent l="0" t="0" r="0" b="0"/>
                <wp:wrapNone/>
                <wp:docPr id="7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8">
                <wp:simplePos x="0" y="0"/>
                <wp:positionH relativeFrom="column">
                  <wp:posOffset>-902970</wp:posOffset>
                </wp:positionH>
                <wp:positionV relativeFrom="paragraph">
                  <wp:posOffset>2577465</wp:posOffset>
                </wp:positionV>
                <wp:extent cx="7550150" cy="139065"/>
                <wp:effectExtent l="0" t="0" r="0" b="0"/>
                <wp:wrapNone/>
                <wp:docPr id="7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98">
                <wp:simplePos x="0" y="0"/>
                <wp:positionH relativeFrom="column">
                  <wp:posOffset>0</wp:posOffset>
                </wp:positionH>
                <wp:positionV relativeFrom="paragraph">
                  <wp:posOffset>28575</wp:posOffset>
                </wp:positionV>
                <wp:extent cx="5975985" cy="2653030"/>
                <wp:effectExtent l="0" t="0" r="0" b="0"/>
                <wp:wrapNone/>
                <wp:docPr id="8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both"/>
                              <w:rPr/>
                            </w:pPr>
                            <w:r>
                              <w:rPr/>
                              <w:t xml:space="preserve">Concernant les mesures gouvernementales orientées vers le secteur marchand, </w:t>
                            </w:r>
                            <w:r>
                              <w:rPr>
                                <w:lang w:val="x-none"/>
                              </w:rPr>
                              <w:t>même si les objectifs sont importants, ils sont atteignables. Le potentiel d’employeurs et d’emplois concernés en Vendée est large, le partenariat avec le secteur économique fonctionne.</w:t>
                            </w:r>
                          </w:p>
                          <w:p>
                            <w:pPr>
                              <w:pStyle w:val="FrameContents"/>
                              <w:overflowPunct w:val="false"/>
                              <w:spacing w:lineRule="auto" w:line="240" w:before="0" w:after="0"/>
                              <w:jc w:val="both"/>
                              <w:rPr>
                                <w:rFonts w:eastAsia="Calibri"/>
                                <w:b/>
                                <w:b/>
                                <w:bCs/>
                                <w:color w:val="00000A"/>
                                <w:sz w:val="20"/>
                                <w:szCs w:val="20"/>
                              </w:rPr>
                            </w:pPr>
                            <w:r>
                              <w:rPr>
                                <w:rFonts w:eastAsia="Calibri"/>
                                <w:b/>
                                <w:bCs/>
                                <w:color w:val="00000A"/>
                                <w:sz w:val="20"/>
                                <w:szCs w:val="20"/>
                              </w:rPr>
                            </w:r>
                          </w:p>
                          <w:p>
                            <w:pPr>
                              <w:pStyle w:val="FrameContents"/>
                              <w:overflowPunct w:val="false"/>
                              <w:spacing w:lineRule="auto" w:line="240" w:before="0" w:after="0"/>
                              <w:jc w:val="both"/>
                              <w:rPr/>
                            </w:pPr>
                            <w:r>
                              <w:rPr>
                                <w:rFonts w:eastAsia="Calibri"/>
                                <w:b/>
                                <w:bCs/>
                                <w:color w:val="00000A"/>
                                <w:sz w:val="20"/>
                                <w:szCs w:val="20"/>
                              </w:rPr>
                              <w:t>En date de fin avril le département de la Vendée avec près de 5 000 aides  financières à l’embauche des jeunes portait un peu plus de 16% de l’accompagnement régional sur cette thématique (30 236 aides financière à l’embauche de jeunes).</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Ce constat semble être confirmé par les éléments chiffrés nationaux, indiqués ci dessus, même si nous devons constater un léger décalage sur les données.</w:t>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jc w:val="both"/>
                        <w:rPr/>
                      </w:pPr>
                      <w:r>
                        <w:rPr/>
                        <w:t xml:space="preserve">Concernant les mesures gouvernementales orientées vers le secteur marchand, </w:t>
                      </w:r>
                      <w:r>
                        <w:rPr>
                          <w:lang w:val="x-none"/>
                        </w:rPr>
                        <w:t>même si les objectifs sont importants, ils sont atteignables. Le potentiel d’employeurs et d’emplois concernés en Vendée est large, le partenariat avec le secteur économique fonctionne.</w:t>
                      </w:r>
                    </w:p>
                    <w:p>
                      <w:pPr>
                        <w:pStyle w:val="FrameContents"/>
                        <w:overflowPunct w:val="false"/>
                        <w:spacing w:lineRule="auto" w:line="240" w:before="0" w:after="0"/>
                        <w:jc w:val="both"/>
                        <w:rPr>
                          <w:rFonts w:eastAsia="Calibri"/>
                          <w:b/>
                          <w:b/>
                          <w:bCs/>
                          <w:color w:val="00000A"/>
                          <w:sz w:val="20"/>
                          <w:szCs w:val="20"/>
                        </w:rPr>
                      </w:pPr>
                      <w:r>
                        <w:rPr>
                          <w:rFonts w:eastAsia="Calibri"/>
                          <w:b/>
                          <w:bCs/>
                          <w:color w:val="00000A"/>
                          <w:sz w:val="20"/>
                          <w:szCs w:val="20"/>
                        </w:rPr>
                      </w:r>
                    </w:p>
                    <w:p>
                      <w:pPr>
                        <w:pStyle w:val="FrameContents"/>
                        <w:overflowPunct w:val="false"/>
                        <w:spacing w:lineRule="auto" w:line="240" w:before="0" w:after="0"/>
                        <w:jc w:val="both"/>
                        <w:rPr/>
                      </w:pPr>
                      <w:r>
                        <w:rPr>
                          <w:rFonts w:eastAsia="Calibri"/>
                          <w:b/>
                          <w:bCs/>
                          <w:color w:val="00000A"/>
                          <w:sz w:val="20"/>
                          <w:szCs w:val="20"/>
                        </w:rPr>
                        <w:t>En date de fin avril le département de la Vendée avec près de 5 000 aides  financières à l’embauche des jeunes portait un peu plus de 16% de l’accompagnement régional sur cette thématique (30 236 aides financière à l’embauche de jeunes).</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Ce constat semble être confirmé par les éléments chiffrés nationaux, indiqués ci dessus, même si nous devons constater un léger décalage sur les données.</w:t>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pour les travailleurs handicapés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travailleurs handicapés : 125</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8498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5745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4" w:name="__DdeLink__225_361440075814"/>
            <w:bookmarkEnd w:id="14"/>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681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483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229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125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78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38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5985" cy="2426970"/>
                <wp:effectExtent l="0" t="0" r="0" b="0"/>
                <wp:wrapNone/>
                <wp:docPr id="8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7">
                <wp:simplePos x="0" y="0"/>
                <wp:positionH relativeFrom="column">
                  <wp:posOffset>-902970</wp:posOffset>
                </wp:positionH>
                <wp:positionV relativeFrom="paragraph">
                  <wp:posOffset>2577465</wp:posOffset>
                </wp:positionV>
                <wp:extent cx="7550150" cy="139065"/>
                <wp:effectExtent l="0" t="0" r="0" b="0"/>
                <wp:wrapNone/>
                <wp:docPr id="8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97">
                <wp:simplePos x="0" y="0"/>
                <wp:positionH relativeFrom="column">
                  <wp:posOffset>0</wp:posOffset>
                </wp:positionH>
                <wp:positionV relativeFrom="paragraph">
                  <wp:posOffset>28575</wp:posOffset>
                </wp:positionV>
                <wp:extent cx="5975985" cy="2653030"/>
                <wp:effectExtent l="0" t="0" r="0" b="0"/>
                <wp:wrapNone/>
                <wp:docPr id="8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
                          </w:p>
                          <w:p>
                            <w:pPr>
                              <w:pStyle w:val="FrameContents"/>
                              <w:spacing w:lineRule="auto" w:line="240" w:before="0" w:after="0"/>
                              <w:jc w:val="both"/>
                              <w:rPr>
                                <w:color w:val="FF0000"/>
                              </w:rPr>
                            </w:pPr>
                            <w:r>
                              <w:rPr>
                                <w:color w:val="FF0000"/>
                              </w:rPr>
                            </w:r>
                          </w:p>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rPr>
                              <w:t>En date de fin avril, selon nos éléments chiffrés locaux, le département de la Vendée portait avec 43 primes à l’embauche des personnes handicapées un peu plus de 13% de l’ensemble des aides sur la région Pays de la Loire (325 primes à l’embauche des travailleurs handicapés).</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Selon les éléments chiffrés nationaux, indiqués ci dessus, la Vendée porte un peu plus de 18 % des aides à l’embauche des travailleurs handicapés pour la région Pays de la Loire.</w:t>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pPr>
                      <w:r>
                        <w:rPr/>
                      </w:r>
                    </w:p>
                    <w:p>
                      <w:pPr>
                        <w:pStyle w:val="FrameContents"/>
                        <w:spacing w:lineRule="auto" w:line="240" w:before="0" w:after="0"/>
                        <w:jc w:val="both"/>
                        <w:rPr>
                          <w:color w:val="FF0000"/>
                        </w:rPr>
                      </w:pPr>
                      <w:r>
                        <w:rPr>
                          <w:color w:val="FF0000"/>
                        </w:rPr>
                      </w:r>
                    </w:p>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rPr>
                        <w:t>En date de fin avril, selon nos éléments chiffrés locaux, le département de la Vendée portait avec 43 primes à l’embauche des personnes handicapées un peu plus de 13% de l’ensemble des aides sur la région Pays de la Loire (325 primes à l’embauche des travailleurs handicapés).</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Selon les éléments chiffrés nationaux, indiqués ci dessus, la Vendée porte un peu plus de 18 % des aides à l’embauche des travailleurs handicapés pour la région Pays de la Loire.</w:t>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Initiatives Emploi (CIE)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CIE : 109</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9805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5619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5" w:name="__DdeLink__225_361440075815"/>
            <w:bookmarkEnd w:id="15"/>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832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253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109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65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38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5985" cy="2426970"/>
                <wp:effectExtent l="0" t="0" r="0" b="0"/>
                <wp:wrapNone/>
                <wp:docPr id="8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6">
                <wp:simplePos x="0" y="0"/>
                <wp:positionH relativeFrom="column">
                  <wp:posOffset>-902970</wp:posOffset>
                </wp:positionH>
                <wp:positionV relativeFrom="paragraph">
                  <wp:posOffset>2577465</wp:posOffset>
                </wp:positionV>
                <wp:extent cx="7550150" cy="139065"/>
                <wp:effectExtent l="0" t="0" r="0" b="0"/>
                <wp:wrapNone/>
                <wp:docPr id="8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96">
                <wp:simplePos x="0" y="0"/>
                <wp:positionH relativeFrom="column">
                  <wp:posOffset>0</wp:posOffset>
                </wp:positionH>
                <wp:positionV relativeFrom="paragraph">
                  <wp:posOffset>28575</wp:posOffset>
                </wp:positionV>
                <wp:extent cx="5975985" cy="2653030"/>
                <wp:effectExtent l="0" t="0" r="0" b="0"/>
                <wp:wrapNone/>
                <wp:docPr id="9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r>
                          </w:p>
                          <w:p>
                            <w:pPr>
                              <w:pStyle w:val="FrameContents"/>
                              <w:spacing w:lineRule="auto" w:line="240" w:before="0" w:after="0"/>
                              <w:jc w:val="both"/>
                              <w:rPr/>
                            </w:pPr>
                            <w:r>
                              <w:rPr/>
                              <w:t xml:space="preserve">Concernant les mesures gouvernementales orientées vers le secteur marchand, </w:t>
                            </w:r>
                            <w:r>
                              <w:rPr>
                                <w:lang w:val="x-none"/>
                              </w:rPr>
                              <w:t>même si les objectifs sont importants, ils sont atteignables. Le potentiel d’employeurs et d’emplois concernés en Vendée est large, le partenariat avec le secteur économique fonctionne.</w:t>
                            </w:r>
                          </w:p>
                          <w:p>
                            <w:pPr>
                              <w:pStyle w:val="FrameContents"/>
                              <w:spacing w:lineRule="auto" w:line="240" w:before="0" w:after="0"/>
                              <w:jc w:val="both"/>
                              <w:rPr>
                                <w:color w:val="FF0000"/>
                              </w:rPr>
                            </w:pPr>
                            <w:r>
                              <w:rPr>
                                <w:color w:val="FF0000"/>
                              </w:rPr>
                            </w:r>
                          </w:p>
                          <w:p>
                            <w:pPr>
                              <w:pStyle w:val="FrameContents"/>
                              <w:overflowPunct w:val="false"/>
                              <w:spacing w:lineRule="auto" w:line="240" w:before="0" w:after="0"/>
                              <w:jc w:val="both"/>
                              <w:rPr/>
                            </w:pPr>
                            <w:r>
                              <w:rPr/>
                              <w:t>En date de fin avril, selon nos données chiffrées locales, le département de la Vendée portait un peu moins de 13% (92 CIE vendéens) de l’ensemble des aides à l’embauche des CIE CUI sur la région Pays de la Loire (728 CIE au niveau régional).</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Ce constat semble être confirmé par les éléments chiffrés nationaux indiqués ci dessus même si nous devons constater un léger décalage sur les données.</w:t>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rFonts w:eastAsia="Calibri"/>
                          <w:b/>
                          <w:b/>
                          <w:bCs/>
                          <w:color w:val="00000A"/>
                          <w:sz w:val="20"/>
                          <w:szCs w:val="20"/>
                        </w:rPr>
                      </w:pPr>
                      <w:r>
                        <w:rPr>
                          <w:rFonts w:eastAsia="Calibri"/>
                          <w:b/>
                          <w:bCs/>
                          <w:color w:val="00000A"/>
                          <w:sz w:val="20"/>
                          <w:szCs w:val="20"/>
                        </w:rPr>
                      </w:r>
                    </w:p>
                    <w:p>
                      <w:pPr>
                        <w:pStyle w:val="FrameContents"/>
                        <w:spacing w:lineRule="auto" w:line="240" w:before="0" w:after="0"/>
                        <w:jc w:val="both"/>
                        <w:rPr/>
                      </w:pPr>
                      <w:r>
                        <w:rPr/>
                        <w:t xml:space="preserve">Concernant les mesures gouvernementales orientées vers le secteur marchand, </w:t>
                      </w:r>
                      <w:r>
                        <w:rPr>
                          <w:lang w:val="x-none"/>
                        </w:rPr>
                        <w:t>même si les objectifs sont importants, ils sont atteignables. Le potentiel d’employeurs et d’emplois concernés en Vendée est large, le partenariat avec le secteur économique fonctionne.</w:t>
                      </w:r>
                    </w:p>
                    <w:p>
                      <w:pPr>
                        <w:pStyle w:val="FrameContents"/>
                        <w:spacing w:lineRule="auto" w:line="240" w:before="0" w:after="0"/>
                        <w:jc w:val="both"/>
                        <w:rPr>
                          <w:color w:val="FF0000"/>
                        </w:rPr>
                      </w:pPr>
                      <w:r>
                        <w:rPr>
                          <w:color w:val="FF0000"/>
                        </w:rPr>
                      </w:r>
                    </w:p>
                    <w:p>
                      <w:pPr>
                        <w:pStyle w:val="FrameContents"/>
                        <w:overflowPunct w:val="false"/>
                        <w:spacing w:lineRule="auto" w:line="240" w:before="0" w:after="0"/>
                        <w:jc w:val="both"/>
                        <w:rPr/>
                      </w:pPr>
                      <w:r>
                        <w:rPr/>
                        <w:t>En date de fin avril, selon nos données chiffrées locales, le département de la Vendée portait un peu moins de 13% (92 CIE vendéens) de l’ensemble des aides à l’embauche des CIE CUI sur la région Pays de la Loire (728 CIE au niveau régional).</w:t>
                      </w:r>
                    </w:p>
                    <w:p>
                      <w:pPr>
                        <w:pStyle w:val="FrameContents"/>
                        <w:overflowPunct w:val="false"/>
                        <w:spacing w:lineRule="auto" w:line="240" w:before="0" w:after="0"/>
                        <w:jc w:val="both"/>
                        <w:rPr/>
                      </w:pPr>
                      <w:r>
                        <w:rPr/>
                      </w:r>
                    </w:p>
                    <w:p>
                      <w:pPr>
                        <w:pStyle w:val="FrameContents"/>
                        <w:overflowPunct w:val="false"/>
                        <w:spacing w:lineRule="auto" w:line="240" w:before="0" w:after="0"/>
                        <w:jc w:val="both"/>
                        <w:rPr/>
                      </w:pPr>
                      <w:r>
                        <w:rPr/>
                        <w:t>Ce constat semble être confirmé par les éléments chiffrés nationaux indiqués ci dessus même si nous devons constater un léger décalage sur les données.</w:t>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de professionnalisation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de professionnalisation : 294</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38193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30459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6" w:name="__DdeLink__225_361440075816"/>
            <w:bookmarkEnd w:id="16"/>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2502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2144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1749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294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265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216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5985" cy="2426970"/>
                <wp:effectExtent l="0" t="0" r="0" b="0"/>
                <wp:wrapNone/>
                <wp:docPr id="9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5">
                <wp:simplePos x="0" y="0"/>
                <wp:positionH relativeFrom="column">
                  <wp:posOffset>-902970</wp:posOffset>
                </wp:positionH>
                <wp:positionV relativeFrom="paragraph">
                  <wp:posOffset>2577465</wp:posOffset>
                </wp:positionV>
                <wp:extent cx="7550150" cy="139065"/>
                <wp:effectExtent l="0" t="0" r="0" b="0"/>
                <wp:wrapNone/>
                <wp:docPr id="9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95">
                <wp:simplePos x="0" y="0"/>
                <wp:positionH relativeFrom="column">
                  <wp:posOffset>0</wp:posOffset>
                </wp:positionH>
                <wp:positionV relativeFrom="paragraph">
                  <wp:posOffset>28575</wp:posOffset>
                </wp:positionV>
                <wp:extent cx="5975985" cy="2653030"/>
                <wp:effectExtent l="0" t="0" r="0" b="0"/>
                <wp:wrapNone/>
                <wp:docPr id="9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sz w:val="20"/>
                                <w:szCs w:val="20"/>
                              </w:rPr>
                              <w:t xml:space="preserve">Concernant les mesures gouvernementales orientées vers le secteur marchand, </w:t>
                            </w:r>
                            <w:r>
                              <w:rPr>
                                <w:rFonts w:eastAsia="Calibri"/>
                                <w:b w:val="false"/>
                                <w:bCs w:val="false"/>
                                <w:color w:val="00000A"/>
                                <w:sz w:val="20"/>
                                <w:szCs w:val="20"/>
                                <w:lang w:val="x-none"/>
                              </w:rPr>
                              <w:t>même si les objectifs sont importants, ils sont atteignables. Le potentiel d’employeurs et d’emplois concernés en Vendée est large, le partenariat avec le secteur économique fonctionne.</w:t>
                            </w:r>
                          </w:p>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rPr>
                            </w:r>
                          </w:p>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rPr>
                              <w:t>Au regard des éléments chiffrés nationaux, la Vendée représente près de 12 % des contrats de professionnalisation pour la région Pays de la Loire.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sz w:val="20"/>
                          <w:szCs w:val="20"/>
                        </w:rPr>
                        <w:t xml:space="preserve">Concernant les mesures gouvernementales orientées vers le secteur marchand, </w:t>
                      </w:r>
                      <w:r>
                        <w:rPr>
                          <w:rFonts w:eastAsia="Calibri"/>
                          <w:b w:val="false"/>
                          <w:bCs w:val="false"/>
                          <w:color w:val="00000A"/>
                          <w:sz w:val="20"/>
                          <w:szCs w:val="20"/>
                          <w:lang w:val="x-none"/>
                        </w:rPr>
                        <w:t>même si les objectifs sont importants, ils sont atteignables. Le potentiel d’employeurs et d’emplois concernés en Vendée est large, le partenariat avec le secteur économique fonctionne.</w:t>
                      </w:r>
                    </w:p>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rPr>
                      </w:r>
                    </w:p>
                    <w:p>
                      <w:pPr>
                        <w:pStyle w:val="FrameContents"/>
                        <w:overflowPunct w:val="false"/>
                        <w:spacing w:lineRule="auto" w:line="240" w:before="0" w:after="0"/>
                        <w:jc w:val="both"/>
                        <w:rPr>
                          <w:rFonts w:ascii="Calibri" w:hAnsi="Calibri" w:eastAsia="Calibri"/>
                          <w:b w:val="false"/>
                          <w:b w:val="false"/>
                          <w:bCs w:val="false"/>
                          <w:color w:val="00000A"/>
                        </w:rPr>
                      </w:pPr>
                      <w:r>
                        <w:rPr>
                          <w:rFonts w:eastAsia="Calibri"/>
                          <w:b w:val="false"/>
                          <w:bCs w:val="false"/>
                          <w:color w:val="00000A"/>
                        </w:rPr>
                        <w:t>Au regard des éléments chiffrés nationaux, la Vendée représente près de 12 % des contrats de professionnalisation pour la région Pays de la Loire.</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Garantie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en garanties jeunes : 736</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127822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112356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7" w:name="__DdeLink__225_361440075817"/>
            <w:bookmarkEnd w:id="17"/>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4673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4088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3639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736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594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515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5985" cy="2426970"/>
                <wp:effectExtent l="0" t="0" r="0" b="0"/>
                <wp:wrapNone/>
                <wp:docPr id="9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-902970</wp:posOffset>
                </wp:positionH>
                <wp:positionV relativeFrom="paragraph">
                  <wp:posOffset>2577465</wp:posOffset>
                </wp:positionV>
                <wp:extent cx="7550150" cy="139065"/>
                <wp:effectExtent l="0" t="0" r="0" b="0"/>
                <wp:wrapNone/>
                <wp:docPr id="9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94">
                <wp:simplePos x="0" y="0"/>
                <wp:positionH relativeFrom="column">
                  <wp:posOffset>0</wp:posOffset>
                </wp:positionH>
                <wp:positionV relativeFrom="paragraph">
                  <wp:posOffset>28575</wp:posOffset>
                </wp:positionV>
                <wp:extent cx="5975985" cy="2653030"/>
                <wp:effectExtent l="0" t="0" r="0" b="0"/>
                <wp:wrapNone/>
                <wp:docPr id="10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Normal"/>
                              <w:overflowPunct w:val="false"/>
                              <w:spacing w:lineRule="auto" w:line="240" w:before="0" w:after="0"/>
                              <w:jc w:val="both"/>
                              <w:rPr/>
                            </w:pPr>
                            <w:r>
                              <w:rPr>
                                <w:rFonts w:eastAsia="Calibri"/>
                                <w:bCs/>
                              </w:rPr>
                              <w:t>Les missions locales se sont organisées pour accueillir ces publics (Garantie jeunes et PACEA) supplémentaires en renforcement leurs équipes et en délocalisation l’accueil. Les accueils de nouveaux jeunes ne souffrent pas de retard significatif au regard des objectifs annuels. Les 4 missions locales de Vendée, organisées en consortium (avec PJJ et Cap emploi notamment) ont été lauréates de l’appel à projet sur les invisibles permettant ainsi d’anticiper le repérage des jeunes non connus du service public de l’emploi. Les CLEFOP sont pleinement mobilisés sur la communication des actions du plan de relance. En outre, le service public de l’emploi est réuni mensuellement et des plans locaux d’action ont été mis en place</w:t>
                            </w:r>
                            <w:r>
                              <w:rPr>
                                <w:rFonts w:eastAsia="Calibri"/>
                                <w:bCs/>
                                <w:lang w:val="x-none"/>
                              </w:rPr>
                              <w:t>.</w:t>
                            </w:r>
                          </w:p>
                          <w:p>
                            <w:pPr>
                              <w:pStyle w:val="Normal"/>
                              <w:overflowPunct w:val="false"/>
                              <w:spacing w:lineRule="auto" w:line="240" w:before="0" w:after="0"/>
                              <w:jc w:val="both"/>
                              <w:rPr/>
                            </w:pPr>
                            <w:r>
                              <w:rPr>
                                <w:rFonts w:eastAsia="Calibri"/>
                                <w:b/>
                                <w:bCs/>
                                <w:color w:val="00000A"/>
                              </w:rPr>
                              <w:t>En date de fin avril, avec 714 Garantie Jeunes, le département de la Vendée portait un peu moins de 16% de l’ensemble des dispositifs Garantie Jeunes sur la région Pays de la Loire qui en comptait 4 561.</w:t>
                            </w:r>
                          </w:p>
                          <w:p>
                            <w:pPr>
                              <w:pStyle w:val="FrameContents"/>
                              <w:overflowPunct w:val="false"/>
                              <w:spacing w:lineRule="auto" w:line="240" w:before="0" w:after="0"/>
                              <w:rPr/>
                            </w:pPr>
                            <w:r>
                              <w:rPr/>
                            </w:r>
                          </w:p>
                          <w:p>
                            <w:pPr>
                              <w:pStyle w:val="FrameContents"/>
                              <w:overflowPunct w:val="false"/>
                              <w:spacing w:lineRule="auto" w:line="240" w:before="0" w:after="0"/>
                              <w:rPr/>
                            </w:pPr>
                            <w:r>
                              <w:rPr/>
                              <w:t>Même si il existe un léger décalage entre les chiffres indiqués au niveau national, ci dessus, et notre suivi de base de données locales, les éléments portés au niveau national confirme le poids du département de la Vendée à près de 16 % des contrats régionaux sur cette thématique.</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Normal"/>
                        <w:overflowPunct w:val="false"/>
                        <w:spacing w:lineRule="auto" w:line="240" w:before="0" w:after="0"/>
                        <w:jc w:val="both"/>
                        <w:rPr/>
                      </w:pPr>
                      <w:r>
                        <w:rPr>
                          <w:rFonts w:eastAsia="Calibri"/>
                          <w:bCs/>
                        </w:rPr>
                        <w:t>Les missions locales se sont organisées pour accueillir ces publics (Garantie jeunes et PACEA) supplémentaires en renforcement leurs équipes et en délocalisation l’accueil. Les accueils de nouveaux jeunes ne souffrent pas de retard significatif au regard des objectifs annuels. Les 4 missions locales de Vendée, organisées en consortium (avec PJJ et Cap emploi notamment) ont été lauréates de l’appel à projet sur les invisibles permettant ainsi d’anticiper le repérage des jeunes non connus du service public de l’emploi. Les CLEFOP sont pleinement mobilisés sur la communication des actions du plan de relance. En outre, le service public de l’emploi est réuni mensuellement et des plans locaux d’action ont été mis en place</w:t>
                      </w:r>
                      <w:r>
                        <w:rPr>
                          <w:rFonts w:eastAsia="Calibri"/>
                          <w:bCs/>
                          <w:lang w:val="x-none"/>
                        </w:rPr>
                        <w:t>.</w:t>
                      </w:r>
                    </w:p>
                    <w:p>
                      <w:pPr>
                        <w:pStyle w:val="Normal"/>
                        <w:overflowPunct w:val="false"/>
                        <w:spacing w:lineRule="auto" w:line="240" w:before="0" w:after="0"/>
                        <w:jc w:val="both"/>
                        <w:rPr/>
                      </w:pPr>
                      <w:r>
                        <w:rPr>
                          <w:rFonts w:eastAsia="Calibri"/>
                          <w:b/>
                          <w:bCs/>
                          <w:color w:val="00000A"/>
                        </w:rPr>
                        <w:t>En date de fin avril, avec 714 Garantie Jeunes, le département de la Vendée portait un peu moins de 16% de l’ensemble des dispositifs Garantie Jeunes sur la région Pays de la Loire qui en comptait 4 561.</w:t>
                      </w:r>
                    </w:p>
                    <w:p>
                      <w:pPr>
                        <w:pStyle w:val="FrameContents"/>
                        <w:overflowPunct w:val="false"/>
                        <w:spacing w:lineRule="auto" w:line="240" w:before="0" w:after="0"/>
                        <w:rPr/>
                      </w:pPr>
                      <w:r>
                        <w:rPr/>
                      </w:r>
                    </w:p>
                    <w:p>
                      <w:pPr>
                        <w:pStyle w:val="FrameContents"/>
                        <w:overflowPunct w:val="false"/>
                        <w:spacing w:lineRule="auto" w:line="240" w:before="0" w:after="0"/>
                        <w:rPr/>
                      </w:pPr>
                      <w:r>
                        <w:rPr/>
                        <w:t>Même si il existe un léger décalage entre les chiffres indiqués au niveau national, ci dessus, et notre suivi de base de données locales, les éléments portés au niveau national confirme le poids du département de la Vendée à près de 16 % des contrats régionaux sur cette thématique.</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Parcours emploi compétences (PEC)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PEC : 137</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24788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21782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8" w:name="__DdeLink__225_361440075818"/>
            <w:bookmarkEnd w:id="18"/>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756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653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561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137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118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107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5985" cy="2426970"/>
                <wp:effectExtent l="0" t="0" r="0" b="0"/>
                <wp:wrapNone/>
                <wp:docPr id="10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3">
                <wp:simplePos x="0" y="0"/>
                <wp:positionH relativeFrom="column">
                  <wp:posOffset>-902970</wp:posOffset>
                </wp:positionH>
                <wp:positionV relativeFrom="paragraph">
                  <wp:posOffset>2577465</wp:posOffset>
                </wp:positionV>
                <wp:extent cx="7550150" cy="139065"/>
                <wp:effectExtent l="0" t="0" r="0" b="0"/>
                <wp:wrapNone/>
                <wp:docPr id="10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93">
                <wp:simplePos x="0" y="0"/>
                <wp:positionH relativeFrom="column">
                  <wp:posOffset>0</wp:posOffset>
                </wp:positionH>
                <wp:positionV relativeFrom="paragraph">
                  <wp:posOffset>28575</wp:posOffset>
                </wp:positionV>
                <wp:extent cx="5975985" cy="2653030"/>
                <wp:effectExtent l="0" t="0" r="0" b="0"/>
                <wp:wrapNone/>
                <wp:docPr id="10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both"/>
                              <w:rPr>
                                <w:color w:val="000000"/>
                              </w:rPr>
                            </w:pPr>
                            <w:r>
                              <w:rPr>
                                <w:color w:val="000000"/>
                                <w:sz w:val="18"/>
                                <w:szCs w:val="18"/>
                              </w:rPr>
                              <w:t xml:space="preserve">Le besoin du public en PEC est réel mais il existe peu d’opportunités d’emploi du secteur non marchand. Traditionnellement la Vendée n’est pas un territoire où les collectivités, associations, établissements publics ont  recours aux contrats aidés. Le secteur associatif qui recrutait un peu est fragilisé par la situation sanitaire. Les segments d’employeurs mobilisés prioritairement sont les associations, les collectivités (communes, EPCI et Département), les </w:t>
                            </w:r>
                            <w:r>
                              <w:rPr>
                                <w:color w:val="000000"/>
                                <w:sz w:val="18"/>
                                <w:szCs w:val="18"/>
                                <w:lang w:val="x-none"/>
                              </w:rPr>
                              <w:t xml:space="preserve">hôpitaux et établissements publics. </w:t>
                            </w:r>
                            <w:r>
                              <w:rPr>
                                <w:color w:val="000000"/>
                                <w:sz w:val="18"/>
                                <w:szCs w:val="18"/>
                              </w:rPr>
                              <w:t>La communication est  soutenue avec une mobilisation du corps préfectoral présent lors des différentes manifestations. Le préfet a communiqué à l’ensemble des maires par courrier sur les potentialités de recrutement. Le centre de gestion de la fonction publique territoriale ainsi que l’</w:t>
                            </w:r>
                            <w:r>
                              <w:rPr>
                                <w:color w:val="000000"/>
                                <w:sz w:val="18"/>
                                <w:szCs w:val="18"/>
                                <w:lang w:val="x-none"/>
                              </w:rPr>
                              <w:t>hôpital vont être également approchés. Le département le sera aussi dans un second temps (après la période électorale) et présente un enjeu important notamment au regard de la capacité de recrutement dans les collèges.</w:t>
                            </w:r>
                          </w:p>
                          <w:p>
                            <w:pPr>
                              <w:pStyle w:val="FrameContents"/>
                              <w:overflowPunct w:val="false"/>
                              <w:spacing w:lineRule="auto" w:line="240" w:before="0" w:after="0"/>
                              <w:jc w:val="both"/>
                              <w:rPr>
                                <w:color w:val="000000"/>
                              </w:rPr>
                            </w:pPr>
                            <w:r>
                              <w:rPr>
                                <w:color w:val="000000"/>
                                <w:sz w:val="18"/>
                                <w:szCs w:val="18"/>
                              </w:rPr>
                              <w:t>En date de fin avril avec 90 PEC le département de la Vendée portait un peu plus de 18% de l’ensemble des recrutements en PEC sur la région Pays de la Loire qui en comptait 494.</w:t>
                            </w:r>
                          </w:p>
                          <w:p>
                            <w:pPr>
                              <w:pStyle w:val="FrameContents"/>
                              <w:overflowPunct w:val="false"/>
                              <w:spacing w:lineRule="auto" w:line="240" w:before="0" w:after="0"/>
                              <w:jc w:val="both"/>
                              <w:rPr>
                                <w:color w:val="000000"/>
                              </w:rPr>
                            </w:pPr>
                            <w:r>
                              <w:rPr>
                                <w:color w:val="000000"/>
                              </w:rPr>
                            </w:r>
                          </w:p>
                          <w:p>
                            <w:pPr>
                              <w:pStyle w:val="FrameContents"/>
                              <w:overflowPunct w:val="false"/>
                              <w:spacing w:lineRule="auto" w:line="240" w:before="0" w:after="0"/>
                              <w:jc w:val="both"/>
                              <w:rPr/>
                            </w:pPr>
                            <w:r>
                              <w:rPr>
                                <w:color w:val="000000"/>
                                <w:sz w:val="18"/>
                                <w:szCs w:val="18"/>
                              </w:rPr>
                              <w:t>Même si il existe un léger décalage entre les chiffres indiqués au niveau national, ci dessus, et notre suivi de base de données locales, les éléments portés au niveau national confirme le poids du département de la Vendée à près de 18 % des contrats régionaux sur cette thématique.</w:t>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jc w:val="both"/>
                        <w:rPr>
                          <w:color w:val="000000"/>
                        </w:rPr>
                      </w:pPr>
                      <w:r>
                        <w:rPr>
                          <w:color w:val="000000"/>
                          <w:sz w:val="18"/>
                          <w:szCs w:val="18"/>
                        </w:rPr>
                        <w:t xml:space="preserve">Le besoin du public en PEC est réel mais il existe peu d’opportunités d’emploi du secteur non marchand. Traditionnellement la Vendée n’est pas un territoire où les collectivités, associations, établissements publics ont  recours aux contrats aidés. Le secteur associatif qui recrutait un peu est fragilisé par la situation sanitaire. Les segments d’employeurs mobilisés prioritairement sont les associations, les collectivités (communes, EPCI et Département), les </w:t>
                      </w:r>
                      <w:r>
                        <w:rPr>
                          <w:color w:val="000000"/>
                          <w:sz w:val="18"/>
                          <w:szCs w:val="18"/>
                          <w:lang w:val="x-none"/>
                        </w:rPr>
                        <w:t xml:space="preserve">hôpitaux et établissements publics. </w:t>
                      </w:r>
                      <w:r>
                        <w:rPr>
                          <w:color w:val="000000"/>
                          <w:sz w:val="18"/>
                          <w:szCs w:val="18"/>
                        </w:rPr>
                        <w:t>La communication est  soutenue avec une mobilisation du corps préfectoral présent lors des différentes manifestations. Le préfet a communiqué à l’ensemble des maires par courrier sur les potentialités de recrutement. Le centre de gestion de la fonction publique territoriale ainsi que l’</w:t>
                      </w:r>
                      <w:r>
                        <w:rPr>
                          <w:color w:val="000000"/>
                          <w:sz w:val="18"/>
                          <w:szCs w:val="18"/>
                          <w:lang w:val="x-none"/>
                        </w:rPr>
                        <w:t>hôpital vont être également approchés. Le département le sera aussi dans un second temps (après la période électorale) et présente un enjeu important notamment au regard de la capacité de recrutement dans les collèges.</w:t>
                      </w:r>
                    </w:p>
                    <w:p>
                      <w:pPr>
                        <w:pStyle w:val="FrameContents"/>
                        <w:overflowPunct w:val="false"/>
                        <w:spacing w:lineRule="auto" w:line="240" w:before="0" w:after="0"/>
                        <w:jc w:val="both"/>
                        <w:rPr>
                          <w:color w:val="000000"/>
                        </w:rPr>
                      </w:pPr>
                      <w:r>
                        <w:rPr>
                          <w:color w:val="000000"/>
                          <w:sz w:val="18"/>
                          <w:szCs w:val="18"/>
                        </w:rPr>
                        <w:t>En date de fin avril avec 90 PEC le département de la Vendée portait un peu plus de 18% de l’ensemble des recrutements en PEC sur la région Pays de la Loire qui en comptait 494.</w:t>
                      </w:r>
                    </w:p>
                    <w:p>
                      <w:pPr>
                        <w:pStyle w:val="FrameContents"/>
                        <w:overflowPunct w:val="false"/>
                        <w:spacing w:lineRule="auto" w:line="240" w:before="0" w:after="0"/>
                        <w:jc w:val="both"/>
                        <w:rPr>
                          <w:color w:val="000000"/>
                        </w:rPr>
                      </w:pPr>
                      <w:r>
                        <w:rPr>
                          <w:color w:val="000000"/>
                        </w:rPr>
                      </w:r>
                    </w:p>
                    <w:p>
                      <w:pPr>
                        <w:pStyle w:val="FrameContents"/>
                        <w:overflowPunct w:val="false"/>
                        <w:spacing w:lineRule="auto" w:line="240" w:before="0" w:after="0"/>
                        <w:jc w:val="both"/>
                        <w:rPr/>
                      </w:pPr>
                      <w:r>
                        <w:rPr>
                          <w:color w:val="000000"/>
                          <w:sz w:val="18"/>
                          <w:szCs w:val="18"/>
                        </w:rPr>
                        <w:t>Même si il existe un léger décalage entre les chiffres indiqués au niveau national, ci dessus, et notre suivi de base de données locales, les éléments portés au niveau national confirme le poids du département de la Vendée à près de 18 % des contrats régionaux sur cette thématique.</w:t>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Service civique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d'entrées en service civique : 376</w:t>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92"/>
        <w:gridCol w:w="5624"/>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71751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66881  </w:t>
            </w:r>
          </w:p>
        </w:tc>
      </w:tr>
      <w:tr>
        <w:trPr>
          <w:trHeight w:val="545" w:hRule="atLeast"/>
        </w:trPr>
        <w:tc>
          <w:tcPr>
            <w:tcW w:w="3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Régional </w:t>
            </w:r>
            <w:bookmarkStart w:id="19" w:name="__DdeLink__225_361440075819"/>
            <w:bookmarkEnd w:id="19"/>
            <w:r>
              <w:rPr>
                <w:b/>
                <w:bCs/>
                <w:sz w:val="20"/>
                <w:szCs w:val="20"/>
              </w:rPr>
              <w:t>: Pays de la Loire</w:t>
            </w:r>
          </w:p>
        </w:tc>
      </w:tr>
      <w:tr>
        <w:trPr>
          <w:trHeight w:val="450"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3542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3346  </w:t>
            </w:r>
          </w:p>
        </w:tc>
      </w:tr>
      <w:tr>
        <w:trPr>
          <w:trHeight w:val="54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3199  </w:t>
            </w:r>
          </w:p>
        </w:tc>
      </w:tr>
    </w:tbl>
    <w:p>
      <w:pPr>
        <w:pStyle w:val="Normal"/>
        <w:rPr>
          <w:sz w:val="4"/>
          <w:szCs w:val="4"/>
        </w:rPr>
      </w:pPr>
      <w:r>
        <w:rPr>
          <w:sz w:val="4"/>
          <w:szCs w:val="4"/>
        </w:rPr>
      </w:r>
    </w:p>
    <w:tbl>
      <w:tblPr>
        <w:tblW w:w="941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3786"/>
        <w:gridCol w:w="5630"/>
      </w:tblGrid>
      <w:tr>
        <w:trPr>
          <w:trHeight w:val="400" w:hRule="atLeast"/>
        </w:trPr>
        <w:tc>
          <w:tcPr>
            <w:tcW w:w="94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Obsahtabulky"/>
              <w:spacing w:lineRule="auto" w:line="240" w:before="0" w:after="0"/>
              <w:jc w:val="center"/>
              <w:rPr/>
            </w:pPr>
            <w:r>
              <w:rPr>
                <w:sz w:val="20"/>
                <w:szCs w:val="20"/>
              </w:rPr>
              <w:t xml:space="preserve"> </w:t>
            </w:r>
            <w:r>
              <w:rPr>
                <w:b/>
                <w:bCs/>
                <w:sz w:val="20"/>
                <w:szCs w:val="20"/>
              </w:rPr>
              <w:t>Niveau Départemental: Vendée</w:t>
            </w:r>
          </w:p>
        </w:tc>
      </w:tr>
      <w:tr>
        <w:trPr>
          <w:trHeight w:val="395"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376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352  </w:t>
            </w:r>
          </w:p>
        </w:tc>
      </w:tr>
      <w:tr>
        <w:trPr>
          <w:trHeight w:val="617" w:hRule="atLeast"/>
        </w:trPr>
        <w:tc>
          <w:tcPr>
            <w:tcW w:w="3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BDBD" w:val="clear"/>
            <w:tcMar>
              <w:left w:w="93" w:type="dxa"/>
            </w:tcM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335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985" cy="2426970"/>
                <wp:effectExtent l="0" t="0" r="0" b="0"/>
                <wp:wrapNone/>
                <wp:docPr id="10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-902970</wp:posOffset>
                </wp:positionH>
                <wp:positionV relativeFrom="paragraph">
                  <wp:posOffset>2577465</wp:posOffset>
                </wp:positionV>
                <wp:extent cx="7550150" cy="139065"/>
                <wp:effectExtent l="0" t="0" r="0" b="0"/>
                <wp:wrapNone/>
                <wp:docPr id="10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Calibri"/>
                          <w:color w:val="00000A"/>
                          <w:sz w:val="18"/>
                          <w:szCs w:val="18"/>
                        </w:rPr>
                        <w:t xml:space="preserve"> </w:t>
                      </w:r>
                      <w:r>
                        <w:rPr>
                          <w:rFonts w:eastAsia="Calibr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92">
                <wp:simplePos x="0" y="0"/>
                <wp:positionH relativeFrom="column">
                  <wp:posOffset>0</wp:posOffset>
                </wp:positionH>
                <wp:positionV relativeFrom="paragraph">
                  <wp:posOffset>28575</wp:posOffset>
                </wp:positionV>
                <wp:extent cx="5975985" cy="2653030"/>
                <wp:effectExtent l="0" t="0" r="0" b="0"/>
                <wp:wrapNone/>
                <wp:docPr id="11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sz w:val="22"/>
                                <w:szCs w:val="22"/>
                              </w:rPr>
                            </w:pPr>
                            <w:r>
                              <w:rPr>
                                <w:rFonts w:eastAsia="Calibri"/>
                                <w:b w:val="false"/>
                                <w:bCs w:val="false"/>
                                <w:color w:val="00000A"/>
                                <w:sz w:val="22"/>
                                <w:szCs w:val="22"/>
                              </w:rPr>
                              <w:t>En date de fin avril, avec 449 Service Civique, le département de la Vendée portait un peu moins de 11% de l’ensemble des jeunes en SC sur la région Pays de la Loire qui en comptait4 289.</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jc w:val="both"/>
                              <w:rPr/>
                            </w:pPr>
                            <w:r>
                              <w:rPr>
                                <w:sz w:val="22"/>
                                <w:szCs w:val="22"/>
                              </w:rPr>
                              <w:t>Même si il existe un léger décalage entre les chiffres indiqués au niveau national, ci dessus, et notre suivi de base de données locales, les éléments portés au niveau national confirme le poids du département de la Vendée à près de 11 % des contrats régionaux sur cette thématique.</w:t>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FrameContents"/>
                        <w:overflowPunct w:val="false"/>
                        <w:spacing w:lineRule="auto" w:line="240" w:before="0" w:after="0"/>
                        <w:rPr>
                          <w:sz w:val="22"/>
                          <w:szCs w:val="22"/>
                        </w:rPr>
                      </w:pPr>
                      <w:r>
                        <w:rPr>
                          <w:rFonts w:eastAsia="Calibri"/>
                          <w:b w:val="false"/>
                          <w:bCs w:val="false"/>
                          <w:color w:val="00000A"/>
                          <w:sz w:val="22"/>
                          <w:szCs w:val="22"/>
                        </w:rPr>
                        <w:t>En date de fin avril, avec 449 Service Civique, le département de la Vendée portait un peu moins de 11% de l’ensemble des jeunes en SC sur la région Pays de la Loire qui en comptait4 289.</w:t>
                      </w:r>
                    </w:p>
                    <w:p>
                      <w:pPr>
                        <w:pStyle w:val="FrameContents"/>
                        <w:overflowPunct w:val="false"/>
                        <w:spacing w:lineRule="auto" w:line="240" w:before="0" w:after="0"/>
                        <w:rPr>
                          <w:rFonts w:ascii="Calibri" w:hAnsi="Calibri" w:eastAsia="Calibri"/>
                          <w:b/>
                          <w:b/>
                          <w:bCs/>
                          <w:color w:val="00000A"/>
                        </w:rPr>
                      </w:pPr>
                      <w:r>
                        <w:rPr>
                          <w:rFonts w:eastAsia="Calibri"/>
                          <w:b/>
                          <w:bCs/>
                          <w:color w:val="00000A"/>
                        </w:rPr>
                      </w:r>
                    </w:p>
                    <w:p>
                      <w:pPr>
                        <w:pStyle w:val="FrameContents"/>
                        <w:overflowPunct w:val="false"/>
                        <w:spacing w:lineRule="auto" w:line="240" w:before="0" w:after="0"/>
                        <w:jc w:val="both"/>
                        <w:rPr/>
                      </w:pPr>
                      <w:r>
                        <w:rPr>
                          <w:sz w:val="22"/>
                          <w:szCs w:val="22"/>
                        </w:rPr>
                        <w:t>Même si il existe un léger décalage entre les chiffres indiqués au niveau national, ci dessus, et notre suivi de base de données locales, les éléments portés au niveau national confirme le poids du département de la Vendée à près de 11 % des contrats régionaux sur cette thématique.</w:t>
                      </w:r>
                    </w:p>
                    <w:p>
                      <w:pPr>
                        <w:pStyle w:val="FrameContents"/>
                        <w:overflowPunct w:val="false"/>
                        <w:spacing w:lineRule="auto" w:line="240" w:before="0" w:after="0"/>
                        <w:rPr/>
                      </w:pPr>
                      <w:r>
                        <w:rPr/>
                      </w:r>
                    </w:p>
                    <w:p>
                      <w:pPr>
                        <w:pStyle w:val="FrameContents"/>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Mariann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52" y="0"/>
              <wp:lineTo x="-252" y="21083"/>
              <wp:lineTo x="20951" y="21083"/>
              <wp:lineTo x="20951" y="0"/>
              <wp:lineTo x="-252"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71">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504" y="0"/>
              <wp:lineTo x="-504" y="20431"/>
              <wp:lineTo x="20842" y="20431"/>
              <wp:lineTo x="20842" y="0"/>
              <wp:lineTo x="-504"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fr-FR" w:eastAsia="en-US" w:bidi="ar-SA"/>
      </w:rPr>
    </w:rPrDefault>
    <w:pPrDefault>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00000A"/>
      <w:kern w:val="0"/>
      <w:sz w:val="22"/>
      <w:szCs w:val="22"/>
      <w:lang w:val="fr-FR" w:eastAsia="en-US" w:bidi="ar-SA"/>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P">
    <w:name w:val="p"/>
    <w:basedOn w:val="DefaultParagraphFont"/>
    <w:qFormat/>
    <w:rPr/>
  </w:style>
  <w:style w:type="character" w:styleId="O">
    <w:name w:val="o"/>
    <w:basedOn w:val="DefaultParagraphFont"/>
    <w:qFormat/>
    <w:rPr/>
  </w:style>
  <w:style w:type="character" w:styleId="N">
    <w:name w:val="n"/>
    <w:basedOn w:val="DefaultParagraphFont"/>
    <w:qFormat/>
    <w:rPr/>
  </w:style>
  <w:style w:type="character" w:styleId="K">
    <w:name w:val="k"/>
    <w:basedOn w:val="DefaultParagraphFont"/>
    <w:qFormat/>
    <w:rPr/>
  </w:style>
  <w:style w:type="character" w:styleId="Textesource">
    <w:name w:val="Texte source"/>
    <w:qFormat/>
    <w:rPr>
      <w:rFonts w:ascii="Liberation Mono" w:hAnsi="Liberation Mono" w:eastAsia="Liberation Mono" w:cs="Liberation Mono"/>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ListLabel1">
    <w:name w:val="ListLabel 1"/>
    <w:qFormat/>
    <w:rPr>
      <w:rFonts w:eastAsia="Calibri" w:cs="Calibri"/>
      <w:b/>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suppressLineNumbers/>
      <w:tabs>
        <w:tab w:val="center" w:pos="4819" w:leader="none"/>
        <w:tab w:val="right" w:pos="9638" w:leader="none"/>
      </w:tabs>
    </w:pPr>
    <w:rPr/>
  </w:style>
  <w:style w:type="paragraph" w:styleId="Entte">
    <w:name w:val="Header"/>
    <w:basedOn w:val="Normal"/>
    <w:pPr>
      <w:tabs>
        <w:tab w:val="center" w:pos="4536" w:leader="none"/>
        <w:tab w:val="right" w:pos="9072" w:leader="none"/>
      </w:tabs>
      <w:spacing w:lineRule="auto" w:line="240" w:before="0" w:after="0"/>
    </w:pPr>
    <w:rPr/>
  </w:style>
  <w:style w:type="paragraph" w:styleId="Pieddepage">
    <w:name w:val="Footer"/>
    <w:basedOn w:val="Normal"/>
    <w:pPr>
      <w:tabs>
        <w:tab w:val="center" w:pos="4536" w:leader="none"/>
        <w:tab w:val="right" w:pos="9072" w:leader="none"/>
      </w:tabs>
      <w:spacing w:lineRule="auto" w:line="240" w:before="0" w:after="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name w:val="Obsah tabulky"/>
    <w:basedOn w:val="Normal"/>
    <w:qFormat/>
    <w:pPr>
      <w:suppressLineNumbers/>
    </w:pPr>
    <w:rPr/>
  </w:style>
  <w:style w:type="paragraph" w:styleId="Contenudetableau">
    <w:name w:val="Contenu de tableau"/>
    <w:basedOn w:val="Normal"/>
    <w:qFormat/>
    <w:pPr>
      <w:suppressLineNumbers/>
    </w:pPr>
    <w:rPr/>
  </w:style>
  <w:style w:type="paragraph" w:styleId="FrameContents">
    <w:name w:val="Frame Contents"/>
    <w:basedOn w:val="Normal"/>
    <w:qFormat/>
    <w:pPr/>
    <w:rPr/>
  </w:style>
  <w:style w:type="paragraph" w:styleId="Contenudecadre">
    <w:name w:val="Contenu de cadre"/>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25</Pages>
  <Words>4811</Words>
  <Characters>25455</Characters>
  <CharactersWithSpaces>31435</CharactersWithSpaces>
  <Paragraphs>917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2021-06-07T16:57:28Z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