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Yonne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  <w:vanish w:val="false"/>
            </w:rPr>
            <w:instrText> TOC \z \o "1-3" \u \h</w:instrText>
          </w:r>
          <w:r>
            <w:rPr>
              <w:webHidden/>
              <w:rStyle w:val="Sautdindex"/>
              <w:vanish w:val="false"/>
            </w:rPr>
            <w:fldChar w:fldCharType="separate"/>
          </w:r>
          <w:hyperlink w:anchor="__RefHeading___Toc2110_292068660">
            <w:r>
              <w:rPr>
                <w:webHidden/>
                <w:rStyle w:val="Sautdindex"/>
                <w:vanish w:val="false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2_292068660">
            <w:r>
              <w:rPr>
                <w:webHidden/>
                <w:rStyle w:val="Sautdindex"/>
                <w:vanish w:val="false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4_292068660">
            <w:r>
              <w:rPr>
                <w:webHidden/>
                <w:rStyle w:val="Sautdindex"/>
                <w:vanish w:val="false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6_292068660">
            <w:r>
              <w:rPr>
                <w:webHidden/>
                <w:rStyle w:val="Sautdindex"/>
                <w:vanish w:val="false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8_292068660">
            <w:r>
              <w:rPr>
                <w:webHidden/>
                <w:rStyle w:val="Sautdindex"/>
                <w:vanish w:val="false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0_292068660">
            <w:r>
              <w:rPr>
                <w:webHidden/>
                <w:rStyle w:val="Sautdindex"/>
                <w:vanish w:val="false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2_292068660">
            <w:r>
              <w:rPr>
                <w:webHidden/>
                <w:rStyle w:val="Sautdindex"/>
                <w:vanish w:val="false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4_292068660">
            <w:r>
              <w:rPr>
                <w:webHidden/>
                <w:rStyle w:val="Sautdindex"/>
                <w:vanish w:val="false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hyperlink w:anchor="__RefHeading___Toc2126_292068660">
            <w:r>
              <w:rPr>
                <w:webHidden/>
                <w:rStyle w:val="Sautdindex"/>
                <w:vanish w:val="false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8_292068660">
            <w:r>
              <w:rPr>
                <w:webHidden/>
                <w:rStyle w:val="Sautdindex"/>
                <w:vanish w:val="false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30_292068660">
            <w:r>
              <w:rPr>
                <w:webHidden/>
                <w:rStyle w:val="Sautdindex"/>
                <w:vanish w:val="false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32_292068660">
            <w:r>
              <w:rPr>
                <w:webHidden/>
                <w:rStyle w:val="Sautdindex"/>
                <w:vanish w:val="false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34_292068660">
            <w:r>
              <w:rPr>
                <w:webHidden/>
                <w:rStyle w:val="Sautdindex"/>
                <w:vanish w:val="false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36_292068660">
            <w:r>
              <w:rPr>
                <w:webHidden/>
                <w:rStyle w:val="Sautdindex"/>
                <w:vanish w:val="false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38_292068660">
            <w:r>
              <w:rPr>
                <w:webHidden/>
                <w:rStyle w:val="Sautdindex"/>
                <w:vanish w:val="false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hyperlink w:anchor="__RefHeading___Toc2140_292068660">
            <w:r>
              <w:rPr>
                <w:webHidden/>
                <w:rStyle w:val="Sautdindex"/>
                <w:vanish w:val="false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42_292068660">
            <w:r>
              <w:rPr>
                <w:webHidden/>
                <w:rStyle w:val="Sautdindex"/>
                <w:vanish w:val="false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44_292068660">
            <w:r>
              <w:rPr>
                <w:webHidden/>
                <w:rStyle w:val="Sautdindex"/>
                <w:vanish w:val="false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46_292068660">
            <w:r>
              <w:rPr>
                <w:webHidden/>
                <w:rStyle w:val="Sautdindex"/>
                <w:vanish w:val="false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48_292068660">
            <w:r>
              <w:rPr>
                <w:webHidden/>
                <w:rStyle w:val="Sautdindex"/>
                <w:vanish w:val="false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50_292068660">
            <w:r>
              <w:rPr>
                <w:webHidden/>
                <w:rStyle w:val="Sautdindex"/>
                <w:vanish w:val="false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52_292068660">
            <w:r>
              <w:rPr>
                <w:webHidden/>
                <w:rStyle w:val="Sautdindex"/>
                <w:vanish w:val="false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54_292068660">
            <w:r>
              <w:rPr>
                <w:webHidden/>
                <w:rStyle w:val="Sautdindex"/>
                <w:vanish w:val="false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56_292068660">
            <w:r>
              <w:rPr>
                <w:webHidden/>
                <w:rStyle w:val="Sautdindex"/>
                <w:vanish w:val="false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110_292068660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000000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 w:eastAsia="Calibri" w:cs="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eastAsia="Calibri" w:cs="" w:ascii="Marianne" w:hAnsi="Marianne"/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03textecourant"/>
              <w:spacing w:before="0" w:after="0"/>
              <w:rPr/>
            </w:pPr>
            <w:r>
              <w:rPr>
                <w:rFonts w:ascii="Marianne" w:hAnsi="Marianne"/>
                <w:color w:val="000000"/>
                <w:sz w:val="20"/>
                <w:szCs w:val="20"/>
                <w:highlight w:val="white"/>
              </w:rPr>
              <w:t>Depuis le 1</w:t>
            </w:r>
            <w:r>
              <w:rPr>
                <w:rFonts w:ascii="Marianne" w:hAnsi="Marianne"/>
                <w:color w:val="000000"/>
                <w:sz w:val="20"/>
                <w:szCs w:val="20"/>
                <w:highlight w:val="white"/>
                <w:vertAlign w:val="superscript"/>
              </w:rPr>
              <w:t>er</w:t>
            </w:r>
            <w:r>
              <w:rPr>
                <w:rFonts w:ascii="Marianne" w:hAnsi="Marianne"/>
                <w:color w:val="000000"/>
                <w:sz w:val="20"/>
                <w:szCs w:val="20"/>
                <w:highlight w:val="white"/>
              </w:rPr>
              <w:t xml:space="preserve"> janvier 2021, 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921</w:t>
            </w:r>
            <w:r>
              <w:rPr>
                <w:rFonts w:ascii="Marianne" w:hAnsi="Marianne"/>
                <w:color w:val="000000"/>
                <w:sz w:val="20"/>
                <w:szCs w:val="20"/>
                <w:highlight w:val="white"/>
              </w:rPr>
              <w:t xml:space="preserve"> primes à la conversion et bonus écologique </w:t>
            </w:r>
            <w:r>
              <w:rPr>
                <w:rFonts w:ascii="Marianne" w:hAnsi="Marianne"/>
                <w:color w:val="000000"/>
                <w:sz w:val="20"/>
                <w:szCs w:val="20"/>
                <w:highlight w:val="white"/>
              </w:rPr>
              <w:t>(ce chiffre n’est pas disponible dans le tableau ci-contre)</w:t>
            </w:r>
            <w:r>
              <w:rPr>
                <w:rFonts w:ascii="Marianne" w:hAnsi="Marianne"/>
                <w:color w:val="000000"/>
                <w:sz w:val="20"/>
                <w:szCs w:val="20"/>
                <w:highlight w:val="white"/>
              </w:rPr>
              <w:t xml:space="preserve"> ont été accordés pour accompagner les icaunais dans le verdissement de leur véhicule automobile.</w:t>
            </w:r>
          </w:p>
          <w:p>
            <w:pPr>
              <w:pStyle w:val="03textecourant"/>
              <w:spacing w:before="0" w:after="0"/>
              <w:rPr>
                <w:rFonts w:ascii="Marianne" w:hAnsi="Mariann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03textecourant"/>
              <w:spacing w:before="57" w:after="63"/>
              <w:rPr/>
            </w:pPr>
            <w:r>
              <w:rPr>
                <w:rFonts w:ascii="Marianne" w:hAnsi="Marianne"/>
                <w:color w:val="000000"/>
                <w:sz w:val="20"/>
                <w:szCs w:val="20"/>
                <w:highlight w:val="white"/>
              </w:rPr>
              <w:t xml:space="preserve">Ce sont plus de 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1 550 particuliers sur les 5 premiers mois qui se sont saisis de MaPrimeRénov’ pour réaliser leurs travaux et ainsi réduire l’empreinte carbone de leur logement (4,7 millions d’euros d’aides de </w:t>
            </w:r>
            <w:r>
              <w:rPr>
                <w:rFonts w:eastAsia="Calibri" w:cs="Arial" w:ascii="Marianne" w:hAnsi="Marianne"/>
                <w:b w:val="false"/>
                <w:bCs w:val="false"/>
                <w:color w:val="000000"/>
                <w:kern w:val="0"/>
                <w:sz w:val="20"/>
                <w:szCs w:val="20"/>
                <w:highlight w:val="white"/>
                <w:lang w:val="fr-FR" w:eastAsia="en-US" w:bidi="ar-SA"/>
              </w:rPr>
              <w:t xml:space="preserve">l’État). </w:t>
            </w:r>
          </w:p>
          <w:p>
            <w:pPr>
              <w:pStyle w:val="03textecourant"/>
              <w:spacing w:before="57" w:after="63"/>
              <w:rPr>
                <w:rFonts w:ascii="Marianne" w:hAnsi="Marianne" w:eastAsia="Calibri" w:cs="Arial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highlight w:val="white"/>
                <w:lang w:val="fr-FR" w:eastAsia="en-US" w:bidi="ar-SA"/>
              </w:rPr>
            </w:pPr>
            <w:r>
              <w:rPr>
                <w:rFonts w:eastAsia="Calibri" w:cs="Arial" w:ascii="Marianne" w:hAnsi="Marianne"/>
                <w:b w:val="false"/>
                <w:bCs w:val="false"/>
                <w:color w:val="000000"/>
                <w:kern w:val="0"/>
                <w:sz w:val="20"/>
                <w:szCs w:val="20"/>
                <w:highlight w:val="white"/>
                <w:lang w:val="fr-FR" w:eastAsia="en-US" w:bidi="ar-SA"/>
              </w:rPr>
            </w:r>
          </w:p>
          <w:p>
            <w:pPr>
              <w:pStyle w:val="02inter2"/>
              <w:spacing w:before="0" w:after="0"/>
              <w:rPr/>
            </w:pPr>
            <w:r>
              <w:rPr>
                <w:rFonts w:eastAsia="Calibri" w:cs="Arial" w:ascii="Marianne" w:hAnsi="Marianne"/>
                <w:b w:val="false"/>
                <w:bCs w:val="false"/>
                <w:color w:val="000000"/>
                <w:kern w:val="0"/>
                <w:sz w:val="20"/>
                <w:szCs w:val="20"/>
                <w:highlight w:val="white"/>
                <w:lang w:val="fr-FR" w:eastAsia="en-US" w:bidi="ar-SA"/>
              </w:rPr>
              <w:t>France Relance c’est 466 000 euros mobilisés pour 18 projets de rénovation des bâtiments de l’Etat, pour un meilleur confort des agents et des usagers.</w:t>
            </w:r>
          </w:p>
          <w:p>
            <w:pPr>
              <w:pStyle w:val="02inter2"/>
              <w:spacing w:before="0" w:after="0"/>
              <w:rPr>
                <w:rFonts w:ascii="Marianne" w:hAnsi="Marianne" w:eastAsia="Calibri" w:cs="Arial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highlight w:val="white"/>
                <w:lang w:val="fr-FR" w:eastAsia="en-US" w:bidi="ar-SA"/>
              </w:rPr>
            </w:pPr>
            <w:r>
              <w:rPr>
                <w:rFonts w:eastAsia="Calibri" w:cs="Arial" w:ascii="Marianne" w:hAnsi="Marianne"/>
                <w:b w:val="false"/>
                <w:bCs w:val="false"/>
                <w:color w:val="000000"/>
                <w:kern w:val="0"/>
                <w:sz w:val="20"/>
                <w:szCs w:val="20"/>
                <w:highlight w:val="white"/>
                <w:lang w:val="fr-FR" w:eastAsia="en-US" w:bidi="ar-SA"/>
              </w:rPr>
            </w:r>
          </w:p>
          <w:p>
            <w:pPr>
              <w:pStyle w:val="03listetiret"/>
              <w:numPr>
                <w:ilvl w:val="0"/>
                <w:numId w:val="0"/>
              </w:numPr>
              <w:spacing w:before="0" w:after="0"/>
              <w:ind w:left="283" w:right="0" w:hanging="0"/>
              <w:jc w:val="both"/>
              <w:rPr/>
            </w:pPr>
            <w:r>
              <w:rPr>
                <w:rFonts w:eastAsia="Calibri" w:cs="Arial" w:ascii="Marianne" w:hAnsi="Marianne"/>
                <w:b w:val="false"/>
                <w:bCs w:val="false"/>
                <w:color w:val="000000"/>
                <w:kern w:val="0"/>
                <w:sz w:val="20"/>
                <w:szCs w:val="20"/>
                <w:highlight w:val="white"/>
                <w:lang w:val="fr-FR" w:eastAsia="en-US" w:bidi="ar-SA"/>
              </w:rPr>
              <w:t>3 entreprises icaunaises ont bénéficié des fonds pour la modernisation du secteur automobile pour un montant de subventions de 2,7M€ et des investissements à hauteur de 7,3M€. Il s’agit des entreprises Boudin à Maillot, Fruehauf à Auxerre et Business Alu Masue à Joigny.</w:t>
            </w:r>
          </w:p>
          <w:p>
            <w:pPr>
              <w:pStyle w:val="03listetiret"/>
              <w:numPr>
                <w:ilvl w:val="0"/>
                <w:numId w:val="0"/>
              </w:numPr>
              <w:spacing w:before="0" w:after="0"/>
              <w:ind w:left="283" w:right="0" w:hanging="0"/>
              <w:jc w:val="both"/>
              <w:rPr>
                <w:rFonts w:ascii="Marianne" w:hAnsi="Marianne" w:eastAsia="Calibri" w:cs="Arial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highlight w:val="white"/>
                <w:lang w:val="fr-FR" w:eastAsia="en-US" w:bidi="ar-SA"/>
              </w:rPr>
            </w:pPr>
            <w:r>
              <w:rPr>
                <w:rFonts w:eastAsia="Calibri" w:cs="Arial" w:ascii="Marianne" w:hAnsi="Marianne"/>
                <w:b w:val="false"/>
                <w:bCs w:val="false"/>
                <w:color w:val="000000"/>
                <w:kern w:val="0"/>
                <w:sz w:val="20"/>
                <w:szCs w:val="20"/>
                <w:highlight w:val="white"/>
                <w:lang w:val="fr-FR" w:eastAsia="en-US" w:bidi="ar-SA"/>
              </w:rPr>
            </w:r>
          </w:p>
          <w:p>
            <w:pPr>
              <w:pStyle w:val="Corpsdetexte"/>
              <w:jc w:val="both"/>
              <w:rPr>
                <w:rFonts w:ascii="Marianne" w:hAnsi="Marianne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Marianne" w:hAnsi="Marianne"/>
                <w:b w:val="false"/>
                <w:bCs w:val="false"/>
                <w:sz w:val="20"/>
                <w:szCs w:val="20"/>
              </w:rPr>
              <w:t xml:space="preserve">2 appels à projets ont été lancés au titre du Fonds Friches afin de faire émerger des projets d’aménagement urbain, de revitalisation des cœurs de ville ainsi que des projets de requalification à vocation productive. En Bourgogne-Franche-Comté, 18 projets ont été retenus correspondant à une enveloppe de 10 M€. </w:t>
            </w:r>
          </w:p>
          <w:p>
            <w:pPr>
              <w:pStyle w:val="Corpsdetexte"/>
              <w:numPr>
                <w:ilvl w:val="0"/>
                <w:numId w:val="0"/>
              </w:numPr>
              <w:spacing w:before="0" w:after="0"/>
              <w:ind w:right="0" w:hanging="0"/>
              <w:jc w:val="both"/>
              <w:rPr>
                <w:rFonts w:ascii="Marianne" w:hAnsi="Marianne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Arial" w:ascii="Marianne" w:hAnsi="Marianne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en-US" w:bidi="ar-SA"/>
              </w:rPr>
              <w:t xml:space="preserve">Dans l’Yonne, 2 projets sont soutenus : il s’agit du projet de revitalisation du centre-bourg de Dixmont avec une aide de 354 225€  et </w:t>
            </w:r>
            <w:r>
              <w:rPr>
                <w:rFonts w:eastAsia="Calibri" w:cs="Arial" w:ascii="Marianne" w:hAnsi="Marianne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lang w:val="fr-FR" w:eastAsia="en-US" w:bidi="ar-SA"/>
              </w:rPr>
              <w:t>le projet de requalification de l’espace d’activités Porte Ouest à Saint-Florentin</w:t>
            </w:r>
            <w:r>
              <w:rPr>
                <w:rFonts w:eastAsia="Calibri" w:cs="Arial" w:ascii="Marianne" w:hAnsi="Marianne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en-US" w:bidi="ar-SA"/>
              </w:rPr>
              <w:t xml:space="preserve"> qui va bénéficier d’une subvention de 245 340€. </w:t>
            </w:r>
          </w:p>
          <w:p>
            <w:pPr>
              <w:pStyle w:val="Corpsdetexte"/>
              <w:numPr>
                <w:ilvl w:val="0"/>
                <w:numId w:val="0"/>
              </w:numPr>
              <w:spacing w:before="0" w:after="0"/>
              <w:ind w:right="0" w:hanging="0"/>
              <w:jc w:val="both"/>
              <w:rPr>
                <w:rFonts w:eastAsia="Calibri" w:cs="Arial"/>
                <w:color w:val="000000"/>
                <w:kern w:val="0"/>
                <w:lang w:val="fr-FR" w:eastAsia="en-US" w:bidi="ar-SA"/>
              </w:rPr>
            </w:pPr>
            <w:r>
              <w:rPr>
                <w:rFonts w:eastAsia="Calibri" w:cs="Arial"/>
                <w:color w:val="000000"/>
                <w:kern w:val="0"/>
                <w:lang w:val="fr-FR" w:eastAsia="en-US" w:bidi="ar-SA"/>
              </w:rPr>
            </w:r>
          </w:p>
          <w:p>
            <w:pPr>
              <w:pStyle w:val="Corpsdetexte"/>
              <w:numPr>
                <w:ilvl w:val="0"/>
                <w:numId w:val="0"/>
              </w:numPr>
              <w:spacing w:before="0" w:after="0"/>
              <w:ind w:right="0" w:hanging="0"/>
              <w:jc w:val="both"/>
              <w:rPr/>
            </w:pPr>
            <w:r>
              <w:rPr>
                <w:rFonts w:eastAsia="Calibri" w:cs="Arial" w:ascii="Marianne" w:hAnsi="Marianne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en-US" w:bidi="ar-SA"/>
              </w:rPr>
              <w:t>Au titre de la conversion du matériel d’agroéquipement, plus de 90 dossiers ont été retenus dans l’Yonne avec un total d’aides retenues de près d’1,2M€.</w:t>
            </w:r>
          </w:p>
          <w:p>
            <w:pPr>
              <w:pStyle w:val="02inter2"/>
              <w:spacing w:before="0" w:after="0"/>
              <w:rPr>
                <w:rFonts w:ascii="Marianne" w:hAnsi="Marianne" w:eastAsia="Calibri" w:cs="Arial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en-US" w:bidi="ar-SA"/>
              </w:rPr>
            </w:pPr>
            <w:r>
              <w:rPr>
                <w:rFonts w:eastAsia="Calibri" w:cs="Arial" w:ascii="Marianne" w:hAnsi="Marianne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en-US" w:bidi="ar-SA"/>
              </w:rPr>
            </w:r>
          </w:p>
          <w:p>
            <w:pPr>
              <w:pStyle w:val="02inter2"/>
              <w:spacing w:before="0" w:after="0"/>
              <w:rPr>
                <w:rFonts w:ascii="Marianne" w:hAnsi="Marianne" w:eastAsia="Calibri" w:cs="Arial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highlight w:val="white"/>
                <w:lang w:val="fr-FR" w:eastAsia="en-US" w:bidi="ar-SA"/>
              </w:rPr>
            </w:pPr>
            <w:r>
              <w:rPr>
                <w:rFonts w:eastAsia="Calibri" w:cs="Arial" w:ascii="Marianne" w:hAnsi="Marianne"/>
                <w:b w:val="false"/>
                <w:bCs w:val="false"/>
                <w:color w:val="000000"/>
                <w:kern w:val="0"/>
                <w:sz w:val="20"/>
                <w:szCs w:val="20"/>
                <w:highlight w:val="white"/>
                <w:lang w:val="fr-FR" w:eastAsia="en-US" w:bidi="ar-SA"/>
              </w:rPr>
            </w:r>
          </w:p>
          <w:p>
            <w:pPr>
              <w:pStyle w:val="03textecourant"/>
              <w:spacing w:before="0" w:after="0"/>
              <w:rPr>
                <w:rFonts w:ascii="Marianne" w:hAnsi="Mariann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03textecourant"/>
              <w:spacing w:before="0" w:after="0"/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</w:rPr>
            </w:r>
          </w:p>
          <w:p>
            <w:pPr>
              <w:pStyle w:val="03textecourant"/>
              <w:spacing w:before="0" w:after="0"/>
              <w:rPr>
                <w:rFonts w:ascii="Marianne" w:hAnsi="Mariann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  <w:highlight w:val="white"/>
              </w:rPr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112_292068660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114_292068660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Yonne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1 557 (12%)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29.4 M€ (11%)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1 152 (12%)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24.8 M€ (12%)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(11%)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20.1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116_292068660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118_292068660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(23%)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(23%)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120_292068660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906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122_292068660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124_292068660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26_292068660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1162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000000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02inter2"/>
              <w:jc w:val="both"/>
              <w:rPr>
                <w:rFonts w:ascii="Marianne" w:hAnsi="Mariann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02inter2"/>
              <w:jc w:val="both"/>
              <w:rPr/>
            </w:pPr>
            <w:r>
              <w:rPr>
                <w:rFonts w:ascii="Marianne" w:hAnsi="Marianne"/>
                <w:color w:val="000000"/>
                <w:sz w:val="20"/>
                <w:szCs w:val="20"/>
                <w:highlight w:val="white"/>
              </w:rPr>
              <w:t>Les subventions allouées aux entreprises de l’Yonne s’élèvent à plus de 9,5M€ pour un potentiel d’investissement total de plus de 34M€..</w:t>
            </w:r>
          </w:p>
          <w:p>
            <w:pPr>
              <w:pStyle w:val="03listetiret"/>
              <w:numPr>
                <w:ilvl w:val="0"/>
                <w:numId w:val="0"/>
              </w:numPr>
              <w:ind w:left="68" w:right="0" w:hanging="0"/>
              <w:jc w:val="both"/>
              <w:rPr>
                <w:rFonts w:ascii="Marianne" w:hAnsi="Marianne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02inter2"/>
              <w:spacing w:before="57" w:after="117"/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</w:rPr>
              <w:t>France relance renforce également la compétitivité du territoire avec une baisse des impôts de production de plus de 37 millions d’euros pour 3 158 entreprises du département.</w:t>
            </w:r>
          </w:p>
          <w:p>
            <w:pPr>
              <w:pStyle w:val="03textecourant"/>
              <w:spacing w:before="57" w:after="177"/>
              <w:rPr>
                <w:rFonts w:ascii="Marianne" w:hAnsi="Marianne" w:eastAsia="Calibri" w:cs="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Calibri" w:cs="" w:ascii="Marianne" w:hAnsi="Marianne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28_292068660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tableau"/>
              <w:spacing w:lineRule="auto" w:line="240" w:before="0" w:after="160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- Tolerie Mécanique Services (Stigny) : augmentation de la capacité de pliage avec une aide de 250k€ pour un investissement de 516,9 k€ </w:t>
              <w:br/>
              <w:t xml:space="preserve">- Acta Mobilier (Monéteau) : augmentation des capacités de production et du processus d’usinage avec une aide de 150 k€ pour un investissement de 1,104 M€ </w:t>
              <w:br/>
              <w:t xml:space="preserve">- Aluminium France Extrusion Saint Florentin (Germigny) : modernisation de la ligne de laquage avec une aide de 300 k€ pour un investissement prévu de 3,4 M€ </w:t>
              <w:br/>
              <w:t xml:space="preserve">- Festins de Bourgogne (Chemilly-sur-Yonne) : modernisation des outils de production avec une aide de 250 k€ pour un investissement prévu de 2,3 M€                                                                         </w:t>
            </w:r>
            <w:r>
              <w:rPr>
                <w:rFonts w:ascii="Marianne" w:hAnsi="Marianne"/>
                <w:b w:val="false"/>
                <w:bCs w:val="false"/>
                <w:sz w:val="20"/>
                <w:szCs w:val="20"/>
              </w:rPr>
              <w:t xml:space="preserve">- SARL Remorques LOUAULT (Saint-Fargeau) : édification d’un nouveau bâtiment de finition avec une aide de 310 k€ pour un investissement prévu de 974 k€   </w:t>
            </w:r>
            <w:r>
              <w:rPr>
                <w:rFonts w:ascii="Marianne" w:hAnsi="Marianne"/>
                <w:b w:val="false"/>
                <w:bCs w:val="false"/>
              </w:rPr>
              <w:t xml:space="preserve">                                                    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u w:val="none"/>
                <w:lang w:val="fr-FR"/>
              </w:rPr>
              <w:t xml:space="preserve">- Jovid’Or (Joigny) : implantation d’une nouvelle ligne de production avec une subvention de 750k € pour un investissement prévu de 2,5 M€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30_292068660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32_292068660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34_292068660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36_292068660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38_292068660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40_292068660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 w:ascii="Marianne" w:hAnsi="Marianne"/>
                <w:b w:val="false"/>
                <w:bCs w:val="false"/>
                <w:color w:val="auto"/>
                <w:sz w:val="20"/>
                <w:szCs w:val="20"/>
              </w:rPr>
            </w:r>
          </w:p>
          <w:p>
            <w:pPr>
              <w:pStyle w:val="02inter2"/>
              <w:rPr/>
            </w:pPr>
            <w:r>
              <w:rPr>
                <w:rFonts w:ascii="Marianne" w:hAnsi="Marianne"/>
                <w:color w:val="000000"/>
                <w:sz w:val="20"/>
                <w:szCs w:val="20"/>
                <w:highlight w:val="white"/>
              </w:rPr>
              <w:t xml:space="preserve">France Relance, c’est donner des perspectives aux jeunes icaunais grâce au plan « 1 jeune, 1 solution » et ses différents dispositifs : </w:t>
            </w:r>
          </w:p>
          <w:p>
            <w:pPr>
              <w:pStyle w:val="02inter2"/>
              <w:rPr/>
            </w:pPr>
            <w:r>
              <w:rPr>
                <w:rFonts w:ascii="Marianne" w:hAnsi="Marianne"/>
                <w:color w:val="000000"/>
                <w:sz w:val="20"/>
                <w:szCs w:val="20"/>
                <w:highlight w:val="white"/>
              </w:rPr>
              <w:t>- 1 679 contrats d’apprentissage ont été signés</w:t>
            </w:r>
          </w:p>
          <w:p>
            <w:pPr>
              <w:pStyle w:val="02inter2"/>
              <w:rPr>
                <w:rFonts w:ascii="Marianne" w:hAnsi="Mariann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02inter2"/>
              <w:rPr/>
            </w:pPr>
            <w:r>
              <w:rPr>
                <w:rFonts w:ascii="Marianne" w:hAnsi="Marianne"/>
                <w:color w:val="000000"/>
                <w:sz w:val="20"/>
                <w:szCs w:val="20"/>
                <w:highlight w:val="white"/>
              </w:rPr>
              <w:t>- 222 contrats de professionnalisation ont bénéficié de l’aide exceptionnelle</w:t>
            </w:r>
          </w:p>
          <w:p>
            <w:pPr>
              <w:pStyle w:val="02inter2"/>
              <w:rPr>
                <w:rFonts w:ascii="Marianne" w:hAnsi="Mariann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02inter2"/>
              <w:rPr/>
            </w:pPr>
            <w:r>
              <w:rPr>
                <w:rFonts w:ascii="Marianne" w:hAnsi="Marianne"/>
                <w:color w:val="000000"/>
                <w:sz w:val="20"/>
                <w:szCs w:val="20"/>
                <w:highlight w:val="white"/>
              </w:rPr>
              <w:t>- 1 543 aides à l’embauche des jeunes ont été versées</w:t>
            </w:r>
          </w:p>
          <w:p>
            <w:pPr>
              <w:pStyle w:val="02inter2"/>
              <w:rPr>
                <w:rFonts w:ascii="Marianne" w:hAnsi="Mariann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02inter2"/>
              <w:rPr/>
            </w:pPr>
            <w:r>
              <w:rPr>
                <w:rFonts w:ascii="Marianne" w:hAnsi="Marianne"/>
                <w:color w:val="000000"/>
                <w:sz w:val="20"/>
                <w:szCs w:val="20"/>
                <w:highlight w:val="white"/>
              </w:rPr>
              <w:t>- 188 jeunes sont entrés en CIE (contrats initiative emploi) et en PEC (parcours emploi compétences)</w:t>
            </w:r>
          </w:p>
          <w:p>
            <w:pPr>
              <w:pStyle w:val="02inter2"/>
              <w:rPr>
                <w:rFonts w:ascii="Marianne" w:hAnsi="Mariann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02inter2"/>
              <w:rPr/>
            </w:pPr>
            <w:r>
              <w:rPr>
                <w:rFonts w:ascii="Marianne" w:hAnsi="Marianne"/>
                <w:color w:val="000000"/>
                <w:sz w:val="20"/>
                <w:szCs w:val="20"/>
                <w:highlight w:val="white"/>
              </w:rPr>
              <w:t>- 485 jeunes sont entrés en dans le dispositif Garantie Jeunes</w:t>
            </w:r>
          </w:p>
          <w:p>
            <w:pPr>
              <w:pStyle w:val="03listetiret"/>
              <w:rPr>
                <w:rFonts w:ascii="Marianne" w:hAnsi="Marianne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  <w:highlight w:val="yellow"/>
              </w:rPr>
            </w:r>
          </w:p>
          <w:p>
            <w:pPr>
              <w:pStyle w:val="02inter2"/>
              <w:spacing w:before="0" w:after="60"/>
              <w:rPr>
                <w:rFonts w:ascii="Marianne" w:hAnsi="Marianne" w:eastAsia="Calibri" w:cs="Arial"/>
                <w:b w:val="false"/>
                <w:b w:val="false"/>
                <w:bCs w:val="false"/>
                <w:color w:val="168253"/>
                <w:sz w:val="20"/>
                <w:szCs w:val="20"/>
                <w:highlight w:val="white"/>
                <w:u w:val="none"/>
              </w:rPr>
            </w:pPr>
            <w:r>
              <w:rPr>
                <w:rFonts w:eastAsia="Calibri" w:cs="Arial" w:ascii="Marianne" w:hAnsi="Marianne"/>
                <w:b w:val="false"/>
                <w:bCs w:val="false"/>
                <w:color w:val="168253"/>
                <w:sz w:val="20"/>
                <w:szCs w:val="20"/>
                <w:highlight w:val="white"/>
                <w:u w:val="none"/>
              </w:rPr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42_292068660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1 679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1 590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44_292068660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46_292068660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222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48_292068660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283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244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50_292068660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52_292068660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1 543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1 390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54_292068660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56_292068660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339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339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3 067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Marianne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27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8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702" y="0"/>
              <wp:lineTo x="-702" y="20604"/>
              <wp:lineTo x="20501" y="20604"/>
              <wp:lineTo x="20501" y="0"/>
              <wp:lineTo x="-70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406" y="0"/>
              <wp:lineTo x="-1406" y="19084"/>
              <wp:lineTo x="19941" y="19084"/>
              <wp:lineTo x="19941" y="0"/>
              <wp:lineTo x="-140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character" w:styleId="ListLabel12">
    <w:name w:val="ListLabel 12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3">
    <w:name w:val="ListLabel 13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ListLabel14">
    <w:name w:val="ListLabel 14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5">
    <w:name w:val="ListLabel 15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ListLabel16">
    <w:name w:val="ListLabel 1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7">
    <w:name w:val="ListLabel 17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ListLabel18">
    <w:name w:val="ListLabel 1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9">
    <w:name w:val="ListLabel 19"/>
    <w:qFormat/>
    <w:rPr>
      <w:rFonts w:ascii="Marianne" w:hAnsi="Marianne" w:cs="Marianne"/>
      <w:color w:val="00A65D"/>
      <w:sz w:val="40"/>
      <w:szCs w:val="4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clear" w:pos="708"/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clear" w:pos="708"/>
        <w:tab w:val="right" w:pos="8790" w:leader="dot"/>
      </w:tabs>
      <w:ind w:left="566" w:hanging="0"/>
    </w:pPr>
    <w:rPr/>
  </w:style>
  <w:style w:type="paragraph" w:styleId="02inter2">
    <w:name w:val="02_inter 2"/>
    <w:basedOn w:val="03textecourant"/>
    <w:qFormat/>
    <w:pPr>
      <w:spacing w:lineRule="exact" w:line="300" w:before="0" w:after="60"/>
    </w:pPr>
    <w:rPr>
      <w:color w:val="169B62"/>
      <w:sz w:val="24"/>
      <w:szCs w:val="24"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03listetiret">
    <w:name w:val="03_liste-tiret"/>
    <w:basedOn w:val="ListParagraph"/>
    <w:qFormat/>
    <w:pPr>
      <w:spacing w:lineRule="exact" w:line="280"/>
      <w:ind w:left="283" w:right="0" w:hanging="215"/>
    </w:pPr>
    <w:rPr>
      <w:rFonts w:ascii="Arial" w:hAnsi="Arial"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LibreOffice/6.1.6.3.M13$Windows_X86_64 LibreOffice_project/31671adeb09bb5a7234188d1a99bab8c62b9e233</Application>
  <Pages>27</Pages>
  <Words>3189</Words>
  <Characters>15734</Characters>
  <CharactersWithSpaces>19255</CharactersWithSpaces>
  <Paragraphs>705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2021-07-16T17:17:49Z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