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Vienne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027898213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073" w:leader="dot"/>
              <w:tab w:val="right" w:pos="9356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2084_73921803">
            <w:r>
              <w:rPr>
                <w:webHidden/>
                <w:rStyle w:val="Sautdindex"/>
                <w:vanish w:val="false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86_73921803">
            <w:r>
              <w:rPr>
                <w:webHidden/>
                <w:rStyle w:val="Sautdindex"/>
                <w:vanish w:val="false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88_73921803">
            <w:r>
              <w:rPr>
                <w:webHidden/>
                <w:rStyle w:val="Sautdindex"/>
                <w:vanish w:val="false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90_73921803">
            <w:r>
              <w:rPr>
                <w:webHidden/>
                <w:rStyle w:val="Sautdindex"/>
                <w:vanish w:val="false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92_73921803">
            <w:r>
              <w:rPr>
                <w:webHidden/>
                <w:rStyle w:val="Sautdindex"/>
                <w:vanish w:val="false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94_73921803">
            <w:r>
              <w:rPr>
                <w:webHidden/>
                <w:rStyle w:val="Sautdindex"/>
                <w:vanish w:val="false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96_73921803">
            <w:r>
              <w:rPr>
                <w:webHidden/>
                <w:rStyle w:val="Sautdindex"/>
                <w:vanish w:val="false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98_73921803">
            <w:r>
              <w:rPr>
                <w:webHidden/>
                <w:rStyle w:val="Sautdindex"/>
                <w:vanish w:val="false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073" w:leader="dot"/>
              <w:tab w:val="right" w:pos="9356" w:leader="dot"/>
            </w:tabs>
            <w:rPr/>
          </w:pPr>
          <w:hyperlink w:anchor="__RefHeading___Toc2100_73921803">
            <w:r>
              <w:rPr>
                <w:webHidden/>
                <w:rStyle w:val="Sautdindex"/>
                <w:vanish w:val="false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02_73921803">
            <w:r>
              <w:rPr>
                <w:webHidden/>
                <w:rStyle w:val="Sautdindex"/>
                <w:vanish w:val="false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04_73921803">
            <w:r>
              <w:rPr>
                <w:webHidden/>
                <w:rStyle w:val="Sautdindex"/>
                <w:vanish w:val="false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06_73921803">
            <w:r>
              <w:rPr>
                <w:webHidden/>
                <w:rStyle w:val="Sautdindex"/>
                <w:vanish w:val="false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08_73921803">
            <w:r>
              <w:rPr>
                <w:webHidden/>
                <w:rStyle w:val="Sautdindex"/>
                <w:vanish w:val="false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10_73921803">
            <w:r>
              <w:rPr>
                <w:webHidden/>
                <w:rStyle w:val="Sautdindex"/>
                <w:vanish w:val="false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12_73921803">
            <w:r>
              <w:rPr>
                <w:webHidden/>
                <w:rStyle w:val="Sautdindex"/>
                <w:vanish w:val="false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073" w:leader="dot"/>
              <w:tab w:val="right" w:pos="9356" w:leader="dot"/>
            </w:tabs>
            <w:rPr/>
          </w:pPr>
          <w:hyperlink w:anchor="__RefHeading___Toc2114_73921803">
            <w:r>
              <w:rPr>
                <w:webHidden/>
                <w:rStyle w:val="Sautdindex"/>
                <w:vanish w:val="false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16_73921803">
            <w:r>
              <w:rPr>
                <w:webHidden/>
                <w:rStyle w:val="Sautdindex"/>
                <w:vanish w:val="false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18_73921803">
            <w:r>
              <w:rPr>
                <w:webHidden/>
                <w:rStyle w:val="Sautdindex"/>
                <w:vanish w:val="false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20_73921803">
            <w:r>
              <w:rPr>
                <w:webHidden/>
                <w:rStyle w:val="Sautdindex"/>
                <w:vanish w:val="false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22_73921803">
            <w:r>
              <w:rPr>
                <w:webHidden/>
                <w:rStyle w:val="Sautdindex"/>
                <w:vanish w:val="false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24_73921803">
            <w:r>
              <w:rPr>
                <w:webHidden/>
                <w:rStyle w:val="Sautdindex"/>
                <w:vanish w:val="false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26_73921803">
            <w:r>
              <w:rPr>
                <w:webHidden/>
                <w:rStyle w:val="Sautdindex"/>
                <w:vanish w:val="false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28_73921803">
            <w:r>
              <w:rPr>
                <w:webHidden/>
                <w:rStyle w:val="Sautdindex"/>
                <w:vanish w:val="false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30_73921803">
            <w:r>
              <w:rPr>
                <w:webHidden/>
                <w:rStyle w:val="Sautdindex"/>
                <w:vanish w:val="false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fldChar w:fldCharType="end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4_73921803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00000A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00000A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Le 5 juillet 2021, Mme la prefete a présidé le comité départemettal de suivi de France Relance. Ce comité est composé des parlementaires, des élus locaux , des chambres consulaires , des représentants du monde économique  et des services de l’État.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/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16 8  M €  ont  d’ores et déjà été mobilisé dans le cadre des mesures du plan :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/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>E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>cologie : 39 M€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>Compétivité : 62 M€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Cohésion : 67 M€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/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Ma PrimeRenov : 5,2 M€ d’aides de l’État ont été mobilisés à ce titre pour un montant de travaux à hauteur de 30 M€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/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Prime et bonus : depuis juillet 2020,  2010  prumes à conversion et bonus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>écologiques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ont été attribués.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/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En matière de transition agricole, 49 dossiers de primes à la conversion des agroéquipements ont été acceptés pour un montant  d’aide de 772 625 €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/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Au titre du fond friche ( hors dépollution, ),  3 projets ont été retenus pour un soutien de 5 M€.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6_73921803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Vienne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1 139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981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bookmarkEnd w:id="2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8_73921803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Vienne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2 019 (8%)  </w:t>
            </w:r>
          </w:p>
        </w:tc>
        <w:tc>
          <w:tcPr>
            <w:tcW w:w="238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30.3 M€ (8%)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1 555 (8%)  </w:t>
            </w:r>
          </w:p>
        </w:tc>
        <w:tc>
          <w:tcPr>
            <w:tcW w:w="238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25.5 M€ (7%)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1 066 (8%)  </w:t>
            </w:r>
          </w:p>
        </w:tc>
        <w:tc>
          <w:tcPr>
            <w:tcW w:w="238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21.3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bookmarkEnd w:id="4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0_73921803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Vienne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bookmarkEnd w:id="6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2_73921803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Vienne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bookmarkEnd w:id="8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4_73921803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Vienne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1 312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1 239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bookmarkEnd w:id="10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6_73921803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Vienne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bookmarkEnd w:id="12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8_73921803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Vienne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bookmarkEnd w:id="14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/>
              <w:t xml:space="preserve">France Relance mobilise 20,5 Millions d’euros pour la rénovation énergétique des bâtiments de l’État :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/>
              <w:t xml:space="preserve">- université de Poitiers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/>
              <w:t xml:space="preserve">- casernes de gendarmerie de Poitiers et Châtellerault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/>
              <w:t xml:space="preserve">- le commissariat de Poitiers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/>
              <w:t xml:space="preserve">l- le rectorat de Poitiers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/>
              <w:t xml:space="preserve">- la DREAL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0_73921803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00000A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00000A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 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Le département de la Vienne  disposer du premier bassin industriel de la Vienne, c’est pourquoi une attention particulière est dédiée à l’investissement  du secteur. : 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12 entreprises ont bénéficié d’un soutien pour un montant d’aide de 7,5M€ .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/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Le volet compétitivité et ses effets sur le département de la Vienne sont évalués à 62 M€.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/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La Baisse des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>impôts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de production 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concernent 4138 entreprises pour  un montant total de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50,5M€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/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>I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ndustrie du futur :  A u titre de l’ouverture du guichet 2020, 25 entreprises sont lauréates  avec un aide de 4,2 M€  pour 14,5M€ d’investissement au total.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2_73921803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Vienne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bookmarkEnd w:id="17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-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>Papeterie du Poitou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- SARL maquignon et Frères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>- Poethic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>- Danisco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- STILZ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4_73921803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Vienne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bookmarkEnd w:id="19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>- Entreprise COULOT Decolletage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>- Eurofins-CEREP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6_73921803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Vienne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323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bookmarkEnd w:id="21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178 chéques numériques ont été accordés pour un montant de 89 000  euros.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/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>E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ntreprise ‘ le camping de saint hilaire « 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8_73921803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Vienne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bookmarkEnd w:id="23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0_73921803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Vienne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bookmarkEnd w:id="25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2_73921803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Vienne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bookmarkEnd w:id="27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4_73921803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00000A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00000A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le volet cohésion sociale représente un impact territorial à hauteur de 67 M€  fin juin 2021.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/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76 lauréats ont été annoncés dans le cadre de l’investissement local pour  un soutien financzer d’un  montant de 26 M€.  (2020/2021)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/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L’accord départemental de relance signé avec le conseil départemental prévoit  un soutien financier de 6,2M€.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/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Pour rappel, 9,5 M€ viennent en compensation des recettes des collectivités en 2021.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/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Segur de la santé :  Les établissements de santé du département de la Vienne  bénéficie en 2021 d’une enveloppe de 3,2 M€ pour l’investissement au quotidien  et de 17,3 M€ pour la restauration des capacités financières.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/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/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6_73921803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Vienne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2 854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2 668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2 418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bookmarkEnd w:id="30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8_73921803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Vienne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bookmarkEnd w:id="32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0_73921803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Vienne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147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bookmarkEnd w:id="34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2_73921803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Vienne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317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254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bookmarkEnd w:id="36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4_73921803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Vienne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bookmarkEnd w:id="38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6_73921803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Vienne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2 381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2 095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1 795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bookmarkEnd w:id="40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8_73921803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Vienne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bookmarkEnd w:id="42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0_73921803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Vienne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637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637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bookmarkEnd w:id="44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Marianne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48" y="0"/>
              <wp:lineTo x="-648" y="20664"/>
              <wp:lineTo x="20555" y="20664"/>
              <wp:lineTo x="20555" y="0"/>
              <wp:lineTo x="-64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98" y="0"/>
              <wp:lineTo x="-1298" y="19245"/>
              <wp:lineTo x="20049" y="19245"/>
              <wp:lineTo x="20049" y="0"/>
              <wp:lineTo x="-1298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LibreOffice/5.4.7.2.M10$Windows_X86_64 LibreOffice_project/8dd9c36825e498b9b45c610823c1129a3ee183ba</Application>
  <Pages>26</Pages>
  <Words>3112</Words>
  <Characters>15042</Characters>
  <CharactersWithSpaces>18397</CharactersWithSpaces>
  <Paragraphs>722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2021-07-15T17:03:31Z</dcterms:created>
  <dc:creator/>
  <dc:description/>
  <dc:language>fr-FR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