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Gironde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4 690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4 924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65.3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3 882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55.3 M€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31 495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473.9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1 890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5 462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2 709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1 406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8 789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(52%)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157 (52%)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133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12 630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523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1 230 (39%)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2 230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297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10 982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428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4 597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2 264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