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4 086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75.2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3 058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62.2 M€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3 012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