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3.8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30.1 M€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3.4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25.2 M€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59.3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81.4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51.6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58.6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7.7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4.5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1.6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