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Bas-Rhin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3 536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3 163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13 913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12 428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9.9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96.3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12.4 M€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3 355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8.2 M€ (20%)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82.0 M€ (21%)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9.1 M€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2 501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49.3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455.4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71.5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41.8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384.8 M€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51.4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15 203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11.0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11.0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(18%)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164.7 M€ (11%)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(12%)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36 689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304 (19%)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36 689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418 940 (24%)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3 646 (23%)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3 476 (23%)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15 799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15 116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(26%)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607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3 473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2 720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5.9 M€ (14%)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1.9 M€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(14%)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2.4 M€ (32%)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972.1 k€ (38%)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121 (5%)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41.5 M€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14.2 M€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(3%)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7.7 M€ (2%)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2.6 M€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103 (33%)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(33%)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(33%)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1 936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1 548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596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2 880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2 548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846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589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6 597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5 229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182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163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1 442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6 864 (24%)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6 073 (25%)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28 122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23 995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147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692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Bas-Rhin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2 825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1 394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12 731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