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40.5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209.9 M€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4.0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5.1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100.7 M€ (40%)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36.9 M€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