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Hautes-Alpes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 xml:space="preserve">Date : Mai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both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both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_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537498637"/>
      </w:sdtPr>
      <w:sdtContent>
        <w:p>
          <w:pPr>
            <w:pStyle w:val="TOCHeading"/>
            <w:rPr/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1 - </w:t>
      </w:r>
      <w:hyperlink r:id="rId1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371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345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285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18 322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16 369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14 299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2 - </w:t>
      </w:r>
      <w:hyperlink r:id="rId1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622 (6%)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9.6 M€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472 (5%)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8.0 M€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356 (5%)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6.6 M€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11 004 (4%)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142.0 M€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8 653 (4%)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119.6 M€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6 755 (4%)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101.6 M€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296 321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4623.2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3 - </w:t>
      </w:r>
      <w:hyperlink r:id="rId1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4 - </w:t>
      </w:r>
      <w:hyperlink r:id="rId1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66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330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217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217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11 446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5 - </w:t>
      </w:r>
      <w:hyperlink r:id="rId1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547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522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503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16 693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15 948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15 295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6 - </w:t>
      </w:r>
      <w:hyperlink r:id="rId1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7 - </w:t>
      </w:r>
      <w:hyperlink r:id="rId1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181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149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102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8 - </w:t>
      </w:r>
      <w:hyperlink r:id="rId1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59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59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45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9 - </w:t>
      </w:r>
      <w:hyperlink r:id="rId1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29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29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27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10 - </w:t>
      </w:r>
      <w:hyperlink r:id="rId1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239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158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148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8 628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5 320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4 189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82 404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11 - </w:t>
      </w:r>
      <w:hyperlink r:id="rId2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99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12 -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339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284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232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3 741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2 651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13 -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381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315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297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5 768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14 - </w:t>
      </w:r>
      <w:hyperlink r:id="rId2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Apprentissage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781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710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647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35 565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32 524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29 595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431 880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396 156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15 - </w:t>
      </w:r>
      <w:hyperlink r:id="rId2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1 623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1 201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833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16 - </w:t>
      </w:r>
      <w:hyperlink r:id="rId2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23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2 983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2 520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2 311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17 - </w:t>
      </w:r>
      <w:hyperlink r:id="rId2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140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120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92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6 834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5 496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4 437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18 - </w:t>
      </w:r>
      <w:hyperlink r:id="rId2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31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1 327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1 193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1 048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19 - </w:t>
      </w:r>
      <w:hyperlink r:id="rId2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564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514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453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23 286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20 040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16 873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20 - </w:t>
      </w:r>
      <w:hyperlink r:id="rId2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40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34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909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759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651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21 - </w:t>
      </w:r>
      <w:hyperlink r:id="rId2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180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87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87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2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10 693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5 240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5 240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612" y="0"/>
              <wp:lineTo x="-612" y="20704"/>
              <wp:lineTo x="20591" y="20704"/>
              <wp:lineTo x="20591" y="0"/>
              <wp:lineTo x="-61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225" y="0"/>
              <wp:lineTo x="-1225" y="19353"/>
              <wp:lineTo x="20121" y="19353"/>
              <wp:lineTo x="20121" y="0"/>
              <wp:lineTo x="-122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9">
    <w:name w:val="ListLabel 9"/>
    <w:qFormat/>
    <w:rPr>
      <w:rFonts w:ascii="Marianne" w:hAnsi="Marianne" w:cs="Arial"/>
      <w:i/>
      <w:iCs/>
      <w:color w:val="00A65D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2">
    <w:name w:val="Custom_style2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23" Type="http://schemas.openxmlformats.org/officeDocument/2006/relationships/hyperlink" Target="https://www.economie.gouv.fr/plan-de-relance/profils/entreprises/aide-embauche-jeune-contrat-initiative-emploi-cie" TargetMode="External"/><Relationship Id="rId24" Type="http://schemas.openxmlformats.org/officeDocument/2006/relationships/hyperlink" Target="https://travail-emploi.gouv.fr/formation-professionnelle/entreprise-et-alternance/aide-exceptionnelle-contrat-pro" TargetMode="External"/><Relationship Id="rId25" Type="http://schemas.openxmlformats.org/officeDocument/2006/relationships/hyperlink" Target="https://travail-emploi.gouv.fr/emploi/mesures-jeunes/garantiejeunes/" TargetMode="External"/><Relationship Id="rId26" Type="http://schemas.openxmlformats.org/officeDocument/2006/relationships/hyperlink" Target="https://www.economie.gouv.fr/plan-de-relance/insertion-personnes-eloignees-emploi-pec" TargetMode="External"/><Relationship Id="rId27" Type="http://schemas.openxmlformats.org/officeDocument/2006/relationships/hyperlink" Target="https://www.economie.gouv.fr/plan-de-relance/profils/entreprises/aide-embauche-jeunes" TargetMode="External"/><Relationship Id="rId28" Type="http://schemas.openxmlformats.org/officeDocument/2006/relationships/hyperlink" Target="https://www.economie.gouv.fr/entreprises/aide-mobilisation-employeurs-embauche-travailleurs-handicapes-plan-relance" TargetMode="External"/><Relationship Id="rId29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</Pages>
  <Words>92</Words>
  <Characters>500</Characters>
  <CharactersWithSpaces>585</CharactersWithSpaces>
  <Paragraphs>10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2021-07-12T18:09:39Z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