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Pas-de-Calais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2 665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2 376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2 068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12 663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10 959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9 520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8 431 (31%)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116.0 M€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6 630 (31%)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100.1 M€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4 466 (31%)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84.0 M€ (30%)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27 209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391.4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21 336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337.7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14 341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281.1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24.7 M€ (25%)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(17%)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(40%)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24.7 M€ (25%)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(17%)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(40%)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23.4 M€ (29%)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(40%)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(30%)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96.8 M€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(9%)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96.8 M€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(9%)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80.9 M€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(9%)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1277.9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208 (26%)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32 799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208 (26%)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32 799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792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152 376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792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152 376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5 568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5 363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5 150 (31%)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18 258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17 449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16 676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(29%)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(34%)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691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527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349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2 839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2 119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1 483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(21%)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9.1 M€ (22%)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3.5 M€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(26%)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7.6 M€ (26%)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2.8 M€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(26%)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7.6 M€ (26%)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2.8 M€ (26%)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104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41.8 M€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15.7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29.0 M€ (9%)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10.7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29.0 M€ (12%)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10.7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251.0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90.3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209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177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150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151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737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613 (37%)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420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2 210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1 663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1 106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1 364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1 114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1 061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5 533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4 800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4 583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3 154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2 606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2 195 (26%)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12 140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10 058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8 476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656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559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475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2 386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2 081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1 754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6 097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5 106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4 329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29 049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24 617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20 989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239 (28%)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215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182 (30%)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865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4 958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2 441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2 441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19 634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9 632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9 632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