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Rhône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both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both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37498637"/>
      </w:sdtPr>
      <w:sdtContent>
        <w:p>
          <w:pPr>
            <w:pStyle w:val="TOCHeading"/>
            <w:rPr/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6 487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5 806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4 942 (27%)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23 595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21 142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18 494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68.7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3 212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56.9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2 369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46.5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35 302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593.5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26 769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484.8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20 060 (12%)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402.8 M€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296 321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4623.2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123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1 316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833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4 358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4 193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3 990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25 017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24 031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23 046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 (43%)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(51%)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2 927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1 685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1 203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10 232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6 269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4 631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82 404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66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877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446 (44%)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269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(28%)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389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645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5 768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17 709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16 592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15 261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57 538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53 741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49 399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1 404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914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2 156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1 963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1 691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6 085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5 553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4 703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1 990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1 603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1 261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8 115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6 629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5 258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1 111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18 835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16 224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12 174 (31%)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57 349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49 341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39 113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380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318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1 651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Rhône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4 819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2 389 (34%)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Auvergne-Rhône-Alpes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14 408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7 125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612" y="0"/>
              <wp:lineTo x="-612" y="20704"/>
              <wp:lineTo x="20591" y="20704"/>
              <wp:lineTo x="20591" y="0"/>
              <wp:lineTo x="-61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225" y="0"/>
              <wp:lineTo x="-1225" y="19353"/>
              <wp:lineTo x="20121" y="19353"/>
              <wp:lineTo x="20121" y="0"/>
              <wp:lineTo x="-122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9">
    <w:name w:val="ListLabel 9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2021-07-12T18:09:39Z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