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Marianne" w:hAnsi="Marianne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Seine-Maritime</w:t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Date : Juillet 2021</w:t>
      </w:r>
    </w:p>
    <w:p>
      <w:pPr>
        <w:pStyle w:val="Custom_style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sz w:val="40"/>
            <w:szCs w:val="40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2083705324"/>
      </w:sdtPr>
      <w:sdtContent>
        <w:p>
          <w:pPr>
            <w:pStyle w:val="TOCHeading"/>
            <w:rPr>
              <w:sz w:val="48"/>
              <w:szCs w:val="48"/>
            </w:rPr>
          </w:pPr>
          <w:r>
            <w:rPr>
              <w:rFonts w:ascii="Marianne" w:hAnsi="Marianne"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1 - </w:t>
      </w:r>
      <w:hyperlink r:id="rId1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2 854 (37%)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2 568 (37%)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2 264 (37%)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7 793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7 025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6 132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2 - </w:t>
      </w:r>
      <w:hyperlink r:id="rId1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4 657 (32%)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66.9 M€ (31%)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3 582 (32%)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56.2 M€ (31%)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2 384 (32%)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46.2 M€ (31%)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14 495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216.4 M€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11 128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180.7 M€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7 370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148.8 M€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3 - </w:t>
      </w:r>
      <w:hyperlink r:id="rId1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(26%)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(26%)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(23%)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4 - </w:t>
      </w:r>
      <w:hyperlink r:id="rId1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78 (25%)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78 (25%)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312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312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5 - </w:t>
      </w:r>
      <w:hyperlink r:id="rId1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3 215 (32%)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3 080 (32%)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2 910 (32%)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10 120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9 722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9 190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6 - </w:t>
      </w:r>
      <w:hyperlink r:id="rId1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7 - </w:t>
      </w:r>
      <w:hyperlink r:id="rId1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 (34%)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33 (33%)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(35%)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101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51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8 - </w:t>
      </w:r>
      <w:hyperlink r:id="rId1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(23%)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(26%)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(23%)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56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46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35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9 - </w:t>
      </w:r>
      <w:hyperlink r:id="rId1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(33%)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(33%)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(36%)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10 - </w:t>
      </w:r>
      <w:hyperlink r:id="rId19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659 (31%)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519 (31%)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378 (32%)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2 093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1 696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1 194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11 - </w:t>
      </w:r>
      <w:hyperlink r:id="rId2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 (24%)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135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32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12 -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(32%)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 (33%)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 (35%)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121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82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2 252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13 -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66 (31%)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 (31%)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216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197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3 955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14 - </w:t>
      </w:r>
      <w:hyperlink r:id="rId2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815 (44%)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629 (44%)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497 (46%)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1 842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1 435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1 080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15 - </w:t>
      </w:r>
      <w:hyperlink r:id="rId2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782 (44%)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698 (43%)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605 (44%)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1 780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1 620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1 365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16 - </w:t>
      </w:r>
      <w:hyperlink r:id="rId2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3 273 (52%)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2 566 (50%)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2 067 (51%)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6 350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5 084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4 077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17 - </w:t>
      </w:r>
      <w:hyperlink r:id="rId2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358 (41%)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283 (38%)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240 (39%)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874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739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619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18 - </w:t>
      </w:r>
      <w:hyperlink r:id="rId2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6 024 (34%)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5 056 (34%)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4 323 (34%)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17 542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14 698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12 621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19 - </w:t>
      </w:r>
      <w:hyperlink r:id="rId2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186 (33%)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(33%)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128 (33%)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571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467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389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20 - </w:t>
      </w:r>
      <w:hyperlink r:id="rId2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1 738 (47%)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1 738 (47%)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1 615 (47%)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3 736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3 736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3 454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71 751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522" y="0"/>
              <wp:lineTo x="-522" y="20804"/>
              <wp:lineTo x="20681" y="20804"/>
              <wp:lineTo x="20681" y="0"/>
              <wp:lineTo x="-52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045" y="0"/>
              <wp:lineTo x="-1045" y="19623"/>
              <wp:lineTo x="20301" y="19623"/>
              <wp:lineTo x="20301" y="0"/>
              <wp:lineTo x="-104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www.economie.gouv.fr/plan-de-relance/profils/entreprises/aide-embauche-jeune-contrat-initiative-emploi-cie" TargetMode="External"/><Relationship Id="rId23" Type="http://schemas.openxmlformats.org/officeDocument/2006/relationships/hyperlink" Target="https://travail-emploi.gouv.fr/formation-professionnelle/entreprise-et-alternance/aide-exceptionnelle-contrat-pro" TargetMode="External"/><Relationship Id="rId24" Type="http://schemas.openxmlformats.org/officeDocument/2006/relationships/hyperlink" Target="https://travail-emploi.gouv.fr/emploi/mesures-jeunes/garantiejeunes/" TargetMode="External"/><Relationship Id="rId25" Type="http://schemas.openxmlformats.org/officeDocument/2006/relationships/hyperlink" Target="https://www.economie.gouv.fr/plan-de-relance/insertion-personnes-eloignees-emploi-pec" TargetMode="External"/><Relationship Id="rId26" Type="http://schemas.openxmlformats.org/officeDocument/2006/relationships/hyperlink" Target="https://www.economie.gouv.fr/plan-de-relance/profils/entreprises/aide-embauche-jeunes" TargetMode="External"/><Relationship Id="rId27" Type="http://schemas.openxmlformats.org/officeDocument/2006/relationships/hyperlink" Target="https://www.economie.gouv.fr/entreprises/aide-mobilisation-employeurs-embauche-travailleurs-handicapes-plan-relance" TargetMode="External"/><Relationship Id="rId28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Application>LibreOffice/6.0.7.3$Linux_X86_64 LibreOffice_project/00m0$Build-3</Application>
  <Pages>2</Pages>
  <Words>35</Words>
  <Characters>155</Characters>
  <CharactersWithSpaces>184</CharactersWithSpaces>
  <Paragraphs>8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2021-06-10T12:22:22Z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