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647.4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454.7 k€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454.7 k€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