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4 475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67.3 M€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3 481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57.2 M€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2 379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47.8 M€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2 299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5 115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4 013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