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>Entre parenthèses, le poids du département dans sa région et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</w:rPr>
      </w:pPr>
      <w:r>
        <w:rPr>
          <w:rFonts w:ascii="Marianne" w:hAnsi="Marianne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  <w:font w:name="Mariann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-314325</wp:posOffset>
              </wp:positionV>
              <wp:extent cx="1086485" cy="75247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5760" cy="7516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75pt;width:85.45pt;height:59.1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188</Words>
  <Characters>901</Characters>
  <CharactersWithSpaces>1070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2021-06-10T12:19:27Z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