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/>
      </w:pPr>
      <w:r>
        <w:rPr/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</w:rPr>
        <w:t>Entre parenthèses, le poids départemental sur régional et régional sur national arrondi à l’unité.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-316865</wp:posOffset>
              </wp:positionV>
              <wp:extent cx="1083945" cy="749935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83240" cy="74916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95pt;width:85.25pt;height:58.9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Application>LibreOffice/6.0.7.3$Linux_X86_64 LibreOffice_project/00m0$Build-3</Application>
  <Pages>1</Pages>
  <Words>189</Words>
  <Characters>910</Characters>
  <CharactersWithSpaces>1079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2021-06-04T11:51:30Z</dcterms:modified>
  <cp:revision>244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