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Côtes-d'Armor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1 354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1 219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1 062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7 894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7 084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6 167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4 308 (20%)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60.0 M€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3 325 (20%)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49.0 M€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2 561 (19%)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41.1 M€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21 980 (7%)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310.6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17 027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259.7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13 314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221.3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202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(36%)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1 670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1 602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1 525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10 596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370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4 697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2 964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2 299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3 881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3 689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3 432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23 343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22 037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20 535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227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132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1 030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234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1 723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363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2 559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1 975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1 533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373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3 643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3 080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2 737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23 518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20 149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17 898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128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Côtes-d'Armor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348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5 619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2 775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2 775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