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Corrèze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1 631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24.4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1 274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20.7 M€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957 (5%)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17.4 M€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1 311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1 104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871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Corrèze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