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Essonne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3 543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3 116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2 705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34 914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31 277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27 129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4 856 (17%)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82.2 M€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3 739 (17%)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69.8 M€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2 870 (17%)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60.2 M€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28 925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552.5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21 834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472.8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16 514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414.4 M€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2 070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1 943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1 839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15 866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14 930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14 053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13 780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8 561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6 655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1 849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656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7 462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6 834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6 161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99 772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92 377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84 022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274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199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1 857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1 276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13 755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12 296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10 797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1 371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1 067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9 493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7 704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6 490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1 004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5 543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4 792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4 366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68 785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59 468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53 420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785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Essonne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Île-de-France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24 479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11 979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