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Gironde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4 690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4 102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3 511 (30%)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15 336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13 546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11 609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4 924 (16%)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65.3 M€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3 882 (16%)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55.3 M€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3 027 (16%)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47.1 M€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31 495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473.9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24 503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396.4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19 051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340.8 M€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1 890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5 462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5 210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4 870 (27%)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19 475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18 349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(27%)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(24%)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2 709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1 406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1 052 (27%)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8 789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5 183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3 903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176 (52%)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157 (52%)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129 (51%)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133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548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12 630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11 707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10 732 (32%)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39 914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36 997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33 737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523 (28%)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405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286 (30%)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1 877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1 374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1 230 (39%)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1 103 (40%)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1 088 (41%)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2 787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2 640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2 230 (34%)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1 749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1 430 (32%)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6 585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4 420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297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270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237 (24%)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1 148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10 982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9 522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8 226 (36%)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30 764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26 660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22 823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428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318 (30%)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1 460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1 239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1 056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Gironde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4 597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2 264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2 264 (32%)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14 317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