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Guadeloupe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1 226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4.6 M€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803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3.2 M€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547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2.3 M€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1 226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4.6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803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3.2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547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2.3 M€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499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499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1 286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1 147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1 426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1 147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146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863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416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3 127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Guadeloupe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1 546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