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Haute-Corse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975 (69%)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932 (70%)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885 (72%)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1 413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1 337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1 228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349 (66%)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3.8 M€ (68%)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278 (66%)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3.2 M€ (68%)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221 (65%)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2.8 M€ (68%)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528 (0%)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5.5 M€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424 (0%)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4.7 M€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339 (0%)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4.1 M€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487 (54%)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474 (54%)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459 (54%)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908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851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(64%)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(60%)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(60%)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(80%)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(80%)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376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283 (57%)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244 (59%)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411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(33%)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910 (51%)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821 (51%)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740 (50%)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1 782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1 617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1 483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(54%)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(54%)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(47%)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98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 (47%)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(50%)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230 (52%)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198 (51%)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182 (55%)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332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 (59%)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(58%)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 (60%)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542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486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400 (44%)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(49%)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(47%)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Haute-Corse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265 (51%)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129 (50%)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129 (50%)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523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257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257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