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Hauts-de-Seine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7 731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6 986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6 089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34 914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31 277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27 129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916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15.8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709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13.7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522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11.9 M€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28 925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552.5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21 834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472.8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16 514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414.4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1 452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1 343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1 238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15 866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14 930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14 053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(46%)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1 724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1 023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762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13 780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8 561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6 655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125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126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19 962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18 575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16 831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99 772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92 377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84 022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132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1 857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3 130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2 985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2 681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12 296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10 797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9 493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7 704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6 490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1 004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11 326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9 750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8 430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68 785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59 468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53 420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150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120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785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Hauts-de-Seine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1 652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24 479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