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Ille-et-Vilaine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2 680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2 400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2 048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7 894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6 167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5 075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75.7 M€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3 879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63.9 M€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3 039 (23%)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54.8 M€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21 980 (7%)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310.6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17 027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259.7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13 314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221.3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3 722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3 582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3 409 (35%)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10 596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(37%)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1 598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962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742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2 964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2 299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(48%)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(41%)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(42%)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(41%)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109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(41%)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9 063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8 619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8 100 (39%)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23 343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22 037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20 535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332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276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219 (34%)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1 030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885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778 (45%)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704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922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760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557 (36%)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2 559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1 533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154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118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373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9 554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8 346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7 457 (42%)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23 518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20 149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17 898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280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234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200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Ille-et-Vilaine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2 459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1 214 (44%)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5 619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