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Loir-et-Cher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4 939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4 328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1 839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27.5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1 402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22.7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1 072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19.1 M€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12 483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199.2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165.8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7 271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141.2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213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2 148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2 027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1 910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16 061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284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1 561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1 381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11 447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9 815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