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Loiret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1 394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1 231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1 071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5 546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4 939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4 328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3 189 (26%)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54.2 M€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2 401 (25%)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45.1 M€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1 827 (25%)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38.8 M€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12 483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199.2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9 525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165.8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7 271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141.2 M€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195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1 788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1 734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1 643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563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360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285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1 698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139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4 107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3 882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3 592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16 061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15 189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14 223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217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148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308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281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243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1 188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1 070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888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668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562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432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2 277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1 903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131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3 783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3 323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2 838 (29%)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13 025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11 447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9 815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108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1 900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936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936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5 815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