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Nord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5 375 (42%)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4 682 (43%)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4 058 (43%)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12 663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10 959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9 520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13 323 (38%)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156.1 M€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10 478 (39%)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132.9 M€ (34%)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8 189 (38%)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114.3 M€ (34%)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35 277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466.9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27 209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391.4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21 336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337.7 M€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190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182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182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914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792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792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7 603 (42%)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7 255 (42%)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6 954 (42%)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18 258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17 449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16 676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(41%)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(39%)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(39%)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2 106 (46%)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1 254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891 (42%)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4 557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2 839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2 119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 (43%)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(39%)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(39%)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150 (62%)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136 (64%)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112 (63%)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179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116 (45%)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 (39%)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(41%)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15 153 (48%)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14 068 (47%)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12 867 (47%)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31 823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29 703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27 137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760 (34%)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546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340 (31%)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2 210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1 663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1 106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3 099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2 778 (58%)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2 670 (58%)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5 533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4 800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4 583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5 923 (49%)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4 941 (49%)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4 170 (49%)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12 140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10 058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8 476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1 183 (50%)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1 039 (50%)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887 (51%)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2 386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2 081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1 754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14 858 (51%)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12 586 (51%)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10 753 (51%)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29 049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24 617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20 989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391 (45%)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318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266 (44%)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865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9 307 (47%)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4 561 (47%)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4 561 (47%)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19 634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9 632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9 632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