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Pyrénées-Orientales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1 150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1 517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17.1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1 184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14.0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910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11.8 M€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2 024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1 931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4 034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3 716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3 316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1 095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1 806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1 291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