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Saône-et-Loire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1 111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837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4 086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75.2 M€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3 058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62.2 M€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2 277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52.3 M€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1 711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1 622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1 551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3 012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2 873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2 634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249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297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2 518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2 214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Saône-et-Loire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